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07" w:rsidRDefault="00520407">
      <w:pPr>
        <w:pStyle w:val="ConsPlusTitlePage"/>
      </w:pPr>
      <w:r>
        <w:t xml:space="preserve">Документ предоставлен </w:t>
      </w:r>
      <w:hyperlink r:id="rId5" w:history="1">
        <w:r>
          <w:rPr>
            <w:color w:val="0000FF"/>
          </w:rPr>
          <w:t>КонсультантПлюс</w:t>
        </w:r>
      </w:hyperlink>
      <w:r>
        <w:br/>
      </w:r>
    </w:p>
    <w:p w:rsidR="00520407" w:rsidRDefault="00520407">
      <w:pPr>
        <w:pStyle w:val="ConsPlusNormal"/>
        <w:jc w:val="both"/>
        <w:outlineLvl w:val="0"/>
      </w:pPr>
    </w:p>
    <w:p w:rsidR="00520407" w:rsidRDefault="00520407">
      <w:pPr>
        <w:pStyle w:val="ConsPlusNormal"/>
      </w:pPr>
      <w:r>
        <w:t>Зарегистрировано в Минюсте РФ 13 апреля 2010 г. N 16883</w:t>
      </w:r>
    </w:p>
    <w:p w:rsidR="00520407" w:rsidRDefault="00520407">
      <w:pPr>
        <w:pStyle w:val="ConsPlusNormal"/>
        <w:pBdr>
          <w:top w:val="single" w:sz="6" w:space="0" w:color="auto"/>
        </w:pBdr>
        <w:spacing w:before="100" w:after="100"/>
        <w:jc w:val="both"/>
        <w:rPr>
          <w:sz w:val="2"/>
          <w:szCs w:val="2"/>
        </w:rPr>
      </w:pPr>
    </w:p>
    <w:p w:rsidR="00520407" w:rsidRDefault="00520407">
      <w:pPr>
        <w:pStyle w:val="ConsPlusNormal"/>
      </w:pPr>
    </w:p>
    <w:p w:rsidR="00520407" w:rsidRDefault="00520407">
      <w:pPr>
        <w:pStyle w:val="ConsPlusTitle"/>
        <w:jc w:val="center"/>
      </w:pPr>
      <w:r>
        <w:t>ФЕДЕРАЛЬНАЯ СЛУЖБА ПО ФИНАНСОВЫМ РЫНКАМ</w:t>
      </w:r>
    </w:p>
    <w:p w:rsidR="00520407" w:rsidRDefault="00520407">
      <w:pPr>
        <w:pStyle w:val="ConsPlusTitle"/>
        <w:jc w:val="center"/>
      </w:pPr>
    </w:p>
    <w:p w:rsidR="00520407" w:rsidRDefault="00520407">
      <w:pPr>
        <w:pStyle w:val="ConsPlusTitle"/>
        <w:jc w:val="center"/>
      </w:pPr>
      <w:r>
        <w:t>ПРИКАЗ</w:t>
      </w:r>
    </w:p>
    <w:p w:rsidR="00520407" w:rsidRDefault="00520407">
      <w:pPr>
        <w:pStyle w:val="ConsPlusTitle"/>
        <w:jc w:val="center"/>
      </w:pPr>
      <w:r>
        <w:t>от 11 февраля 2010 г. N 10-7/пз-н</w:t>
      </w:r>
    </w:p>
    <w:p w:rsidR="00520407" w:rsidRDefault="00520407">
      <w:pPr>
        <w:pStyle w:val="ConsPlusTitle"/>
        <w:jc w:val="center"/>
      </w:pPr>
    </w:p>
    <w:p w:rsidR="00520407" w:rsidRDefault="00520407">
      <w:pPr>
        <w:pStyle w:val="ConsPlusTitle"/>
        <w:jc w:val="center"/>
      </w:pPr>
      <w:r>
        <w:t>О ПОРЯДКЕ И СРОКАХ</w:t>
      </w:r>
    </w:p>
    <w:p w:rsidR="00520407" w:rsidRDefault="00520407">
      <w:pPr>
        <w:pStyle w:val="ConsPlusTitle"/>
        <w:jc w:val="center"/>
      </w:pPr>
      <w:r>
        <w:t xml:space="preserve">РАСКРЫТИЯ ПРОФЕССИОНАЛЬНЫМИ УЧАСТНИКАМИ РЫНКА </w:t>
      </w:r>
      <w:proofErr w:type="gramStart"/>
      <w:r>
        <w:t>ЦЕННЫХ</w:t>
      </w:r>
      <w:proofErr w:type="gramEnd"/>
    </w:p>
    <w:p w:rsidR="00520407" w:rsidRDefault="00520407">
      <w:pPr>
        <w:pStyle w:val="ConsPlusTitle"/>
        <w:jc w:val="center"/>
      </w:pPr>
      <w:r>
        <w:t>БУМАГ, А ТАКЖЕ УПРАВЛЯЮЩИМИ КОМПАНИЯМИ ИНВЕСТИЦИОННЫХ</w:t>
      </w:r>
    </w:p>
    <w:p w:rsidR="00520407" w:rsidRDefault="00520407">
      <w:pPr>
        <w:pStyle w:val="ConsPlusTitle"/>
        <w:jc w:val="center"/>
      </w:pPr>
      <w:r>
        <w:t>ФОНДОВ, ПАЕВЫХ ИНВЕСТИЦИОННЫХ ФОНДОВ И НЕГОСУДАРСТВЕННЫХ</w:t>
      </w:r>
    </w:p>
    <w:p w:rsidR="00520407" w:rsidRDefault="00520407">
      <w:pPr>
        <w:pStyle w:val="ConsPlusTitle"/>
        <w:jc w:val="center"/>
      </w:pPr>
      <w:r>
        <w:t>ПЕНСИОННЫХ ФОНДОВ ИНФОРМАЦИИ О РАСЧЕТЕ СОБСТВЕННЫХ</w:t>
      </w:r>
    </w:p>
    <w:p w:rsidR="00520407" w:rsidRDefault="00520407">
      <w:pPr>
        <w:pStyle w:val="ConsPlusTitle"/>
        <w:jc w:val="center"/>
      </w:pPr>
      <w:r>
        <w:t>СРЕДСТВ В СЕТИ ИНТЕРНЕТ</w:t>
      </w:r>
    </w:p>
    <w:p w:rsidR="00520407" w:rsidRDefault="00520407">
      <w:pPr>
        <w:pStyle w:val="ConsPlusNormal"/>
        <w:jc w:val="center"/>
      </w:pPr>
    </w:p>
    <w:p w:rsidR="00520407" w:rsidRDefault="00520407">
      <w:pPr>
        <w:pStyle w:val="ConsPlusNormal"/>
        <w:ind w:firstLine="540"/>
        <w:jc w:val="both"/>
      </w:pPr>
      <w:proofErr w:type="gramStart"/>
      <w:r>
        <w:t xml:space="preserve">В соответствии с </w:t>
      </w:r>
      <w:hyperlink r:id="rId6" w:history="1">
        <w:r>
          <w:rPr>
            <w:color w:val="0000FF"/>
          </w:rPr>
          <w:t>частью двадцатой статьи 30</w:t>
        </w:r>
      </w:hyperlink>
      <w:r>
        <w:t xml:space="preserve"> Федерального закона от 22.04.1996 N 39-ФЗ "О рынке ценных бумаг" (Собрание законодательства Российской Федерации, 1996, N 17, ст. 1918; 1998, N 48, ст. 5857; 1999, N 28, ст. 3472; 2001, N 33, ст. 3424; 2002, N 52, ст. 5141; 2004, N 27, ст. 2711;</w:t>
      </w:r>
      <w:proofErr w:type="gramEnd"/>
      <w:r>
        <w:t xml:space="preserve"> </w:t>
      </w:r>
      <w:proofErr w:type="gramStart"/>
      <w:r>
        <w:t>2004, N 31, ст. 3225; 2005, N 11, ст. 900; 2005, N 26, ст. 2426; 2006, N 1, ст. 5; N 2, ст. 172; N 17, ст. 1780; N 31, ст. 3437; N 43, ст. 4412; 2007, N 1, ст. 45; N 18, ст. 2117; N 22, ст. 2563; N 41, ст. 4845;</w:t>
      </w:r>
      <w:proofErr w:type="gramEnd"/>
      <w:r>
        <w:t xml:space="preserve"> N 50, ст. 6247; N 50, ст. 6249; 2008, N 44, ст. 4982; N 52, ст. 6221; 2009, N 1, ст. 28; N 7, ст. 777; N 18, ст. 2154; N 23, ст. 2770; 2009, N 29, ст. 3642; 2009, N 48, ст. 5731; 2009, N 52, ст. 6428), </w:t>
      </w:r>
      <w:hyperlink r:id="rId7" w:history="1">
        <w:r>
          <w:rPr>
            <w:color w:val="0000FF"/>
          </w:rPr>
          <w:t>пунктом 1 статьи 53</w:t>
        </w:r>
      </w:hyperlink>
      <w:r>
        <w:t xml:space="preserve"> Федерального закона от 29.11.2001 N 156-ФЗ "Об инвестиционных фондах" (Собрание законодательства Российской Федерации, 2001, N 49, ст. 4562; 2004, N 27, ст. 2711; 2006, N 17, ст. 1780; 2007, N 50, ст. 6247; </w:t>
      </w:r>
      <w:proofErr w:type="gramStart"/>
      <w:r>
        <w:t xml:space="preserve">2008, N 30 (ч. II), ст. 3616, 2009, N 48, ст. 5731), </w:t>
      </w:r>
      <w:hyperlink r:id="rId8" w:history="1">
        <w:r>
          <w:rPr>
            <w:color w:val="0000FF"/>
          </w:rPr>
          <w:t>Положением</w:t>
        </w:r>
      </w:hyperlink>
      <w:r>
        <w:t xml:space="preserve"> о Федеральной службе по финансовым рынкам, утвержденным Постановлением Правительства Российской Федерации от 30.06.2004 N 317 (Собрание законодательства Российской Федерации, 2004, N 27, ст. 2780; 2005, N 33, ст. 3429; 2006, N 13, ст. 1400; N 52, ст. 5587;</w:t>
      </w:r>
      <w:proofErr w:type="gramEnd"/>
      <w:r>
        <w:t xml:space="preserve"> </w:t>
      </w:r>
      <w:proofErr w:type="gramStart"/>
      <w:r>
        <w:t>2007, N 12, ст. 1417; 2008, N 19, ст. 2192; N 46, ст. 5337; 2009, N 3, ст. 378; N 6, ст. 738), приказываю:</w:t>
      </w:r>
      <w:proofErr w:type="gramEnd"/>
    </w:p>
    <w:p w:rsidR="00520407" w:rsidRDefault="00520407">
      <w:pPr>
        <w:pStyle w:val="ConsPlusNormal"/>
        <w:ind w:firstLine="540"/>
        <w:jc w:val="both"/>
      </w:pPr>
      <w:r>
        <w:t>1. Установить следующие порядок и сроки раскрытия профессиональными участниками рынка ценных бумаг, а также управляющими компаниями инвестиционных фондов, паевых инвестиционных фондов и негосударственных пенсионных фондов информации о расчете собственных сре</w:t>
      </w:r>
      <w:proofErr w:type="gramStart"/>
      <w:r>
        <w:t>дств в с</w:t>
      </w:r>
      <w:proofErr w:type="gramEnd"/>
      <w:r>
        <w:t>ети Интернет:</w:t>
      </w:r>
    </w:p>
    <w:p w:rsidR="00520407" w:rsidRDefault="00520407">
      <w:pPr>
        <w:pStyle w:val="ConsPlusNormal"/>
        <w:ind w:firstLine="540"/>
        <w:jc w:val="both"/>
      </w:pPr>
      <w:r>
        <w:t xml:space="preserve">1.1. </w:t>
      </w:r>
      <w:proofErr w:type="gramStart"/>
      <w:r>
        <w:t xml:space="preserve">Профессиональные участники рынка ценных бумаг и управляющие компании инвестиционных фондов, паевых инвестиционных фондов и негосударственных пенсионных фондов (далее - Участники рынка) осуществляют расчет собственных средств по состоянию на последний календарный день каждого месяца в порядке, определенном </w:t>
      </w:r>
      <w:hyperlink r:id="rId9" w:history="1">
        <w:r>
          <w:rPr>
            <w:color w:val="0000FF"/>
          </w:rPr>
          <w:t>Положением</w:t>
        </w:r>
      </w:hyperlink>
      <w:r>
        <w:t xml:space="preserve"> о порядке расчета собственных средств профессиональных участников рынка ценных бумаг, управляющих компаний инвестиционных фондов, паевых инвестиционных фондов и негосударственных пенсионных фондов, утвержденным Приказом ФСФР</w:t>
      </w:r>
      <w:proofErr w:type="gramEnd"/>
      <w:r>
        <w:t xml:space="preserve"> России от 23.10.2008 N 08-41/пз-н (</w:t>
      </w:r>
      <w:proofErr w:type="gramStart"/>
      <w:r>
        <w:t>зарегистрирован</w:t>
      </w:r>
      <w:proofErr w:type="gramEnd"/>
      <w:r>
        <w:t xml:space="preserve"> в Министерстве юстиции Российской Федерации 04.02.2009, регистрационный N 13265) (далее - Положение).</w:t>
      </w:r>
    </w:p>
    <w:p w:rsidR="00520407" w:rsidRDefault="00520407">
      <w:pPr>
        <w:pStyle w:val="ConsPlusNormal"/>
        <w:ind w:firstLine="540"/>
        <w:jc w:val="both"/>
      </w:pPr>
      <w:r>
        <w:t>Информация о расчете собственных средств раскрывается в сети Интернет в течение месяца, следующего за месяцем, за который был произведен расчет.</w:t>
      </w:r>
    </w:p>
    <w:p w:rsidR="00520407" w:rsidRDefault="00520407">
      <w:pPr>
        <w:pStyle w:val="ConsPlusNormal"/>
        <w:ind w:firstLine="540"/>
        <w:jc w:val="both"/>
      </w:pPr>
      <w:r>
        <w:t xml:space="preserve">1.2. </w:t>
      </w:r>
      <w:proofErr w:type="gramStart"/>
      <w:r>
        <w:t>При наличии у Участника рынка сайта в сети Интернет, который используется для распространения на постоянной основе сведений, характеризующих деятельность Участника рынка, в том числе сведений о предлагаемых продуктах и услугах, и указывается в информационных и рекламных материалах Участника рынка или в договорах на оказание услуг в качестве сайта Участника рынка (далее - Сайт для распространения информации), то информация о расчете собственных</w:t>
      </w:r>
      <w:proofErr w:type="gramEnd"/>
      <w:r>
        <w:t xml:space="preserve"> средств раскрывается на указанном сайте.</w:t>
      </w:r>
    </w:p>
    <w:p w:rsidR="00520407" w:rsidRDefault="00520407">
      <w:pPr>
        <w:pStyle w:val="ConsPlusNormal"/>
        <w:ind w:firstLine="540"/>
        <w:jc w:val="both"/>
      </w:pPr>
      <w:r>
        <w:t>При налич</w:t>
      </w:r>
      <w:proofErr w:type="gramStart"/>
      <w:r>
        <w:t>ии у У</w:t>
      </w:r>
      <w:proofErr w:type="gramEnd"/>
      <w:r>
        <w:t xml:space="preserve">частника рынка более одного Сайта для распространения информации, </w:t>
      </w:r>
      <w:r>
        <w:lastRenderedPageBreak/>
        <w:t>информация о расчете собственных средств раскрывается на каждом Сайте для распространения информации.</w:t>
      </w:r>
    </w:p>
    <w:p w:rsidR="00520407" w:rsidRDefault="00520407">
      <w:pPr>
        <w:pStyle w:val="ConsPlusNormal"/>
        <w:ind w:firstLine="540"/>
        <w:jc w:val="both"/>
      </w:pPr>
      <w:r>
        <w:t>Информация о расчете собственных средств также раскрывается на сайте, электронный адрес которого включает доменное имя, права на которое принадлежат Участнику рынка (далее - Сайт, принадлежащий Участнику рынка).</w:t>
      </w:r>
    </w:p>
    <w:p w:rsidR="00520407" w:rsidRDefault="00520407">
      <w:pPr>
        <w:pStyle w:val="ConsPlusNormal"/>
        <w:ind w:firstLine="540"/>
        <w:jc w:val="both"/>
      </w:pPr>
      <w:r>
        <w:t>Технологические и программные средства обеспечения пользования Сайта для распространения информации (Сайта, принадлежащего Участнику рынка) должны обеспечивать свободный и необременительный доступ пользователей для ознакомления с информацией о расчете собственных средств на основе общедоступного программного обеспечения. Для просмотра такой информации не должна предусматриваться установка на компьютере пользователя специально созданных с этой целью технологических и программных средств.</w:t>
      </w:r>
    </w:p>
    <w:p w:rsidR="00520407" w:rsidRDefault="00520407">
      <w:pPr>
        <w:pStyle w:val="ConsPlusNormal"/>
        <w:ind w:firstLine="540"/>
        <w:jc w:val="both"/>
      </w:pPr>
      <w:bookmarkStart w:id="0" w:name="P24"/>
      <w:bookmarkEnd w:id="0"/>
      <w:r>
        <w:t xml:space="preserve">1.3. Информация о расчете собственных средств раскрывается на специальной странице Сайта для распространения информации (Сайта, принадлежащего Участнику рынка) (далее - Специальная страница), на которой в хронологическом порядке размещается информация о расчете собственных средств или гиперссылки на файлы, содержащие указанную информацию, с указанием даты такого раскрытия. Информация о расчете собственных средств должна быть доступна на Специальной странице не менее 12 месяцев </w:t>
      </w:r>
      <w:proofErr w:type="gramStart"/>
      <w:r>
        <w:t>с даты раскрытия</w:t>
      </w:r>
      <w:proofErr w:type="gramEnd"/>
      <w:r>
        <w:t xml:space="preserve"> указанной информации.</w:t>
      </w:r>
    </w:p>
    <w:p w:rsidR="00520407" w:rsidRDefault="00520407">
      <w:pPr>
        <w:pStyle w:val="ConsPlusNormal"/>
        <w:ind w:firstLine="540"/>
        <w:jc w:val="both"/>
      </w:pPr>
      <w:r>
        <w:t xml:space="preserve">Гиперссылка на Специальную страницу должна находиться на главной (начальной) странице Сайта для распространения информации (Сайта, принадлежащего Участнику рынка) или на иной странице Сайта </w:t>
      </w:r>
      <w:proofErr w:type="gramStart"/>
      <w:r>
        <w:t>для</w:t>
      </w:r>
      <w:proofErr w:type="gramEnd"/>
      <w:r>
        <w:t xml:space="preserve"> </w:t>
      </w:r>
      <w:proofErr w:type="gramStart"/>
      <w:r>
        <w:t>распространении</w:t>
      </w:r>
      <w:proofErr w:type="gramEnd"/>
      <w:r>
        <w:t xml:space="preserve"> информации (Сайта, принадлежащего Участнику рынка), на которой размещена информация об Участнике рынка или информация, предназначенная для раскрытия. Гиперссылка на страницу, на которой размещена информация об Участнике рынка или информация, предназначенная для раскрытия, должна находиться на главной (начальной) странице Сайта для распространения информации (Сайта, принадлежащего Участнику рынка).</w:t>
      </w:r>
    </w:p>
    <w:p w:rsidR="00520407" w:rsidRDefault="00520407">
      <w:pPr>
        <w:pStyle w:val="ConsPlusNormal"/>
        <w:ind w:firstLine="540"/>
        <w:jc w:val="both"/>
      </w:pPr>
      <w:r>
        <w:t xml:space="preserve">1.4. Информация о расчете собственных средств, включая тексты гиперссылок, предусмотренных в </w:t>
      </w:r>
      <w:hyperlink w:anchor="P24" w:history="1">
        <w:r>
          <w:rPr>
            <w:color w:val="0000FF"/>
          </w:rPr>
          <w:t>пункте 1.3</w:t>
        </w:r>
      </w:hyperlink>
      <w:r>
        <w:t xml:space="preserve"> настоящего Приказа, раскрывается на русском языке. Информация о расчете собственных средств составляется по форме согласно </w:t>
      </w:r>
      <w:hyperlink r:id="rId10" w:history="1">
        <w:r>
          <w:rPr>
            <w:color w:val="0000FF"/>
          </w:rPr>
          <w:t>приложению N 1</w:t>
        </w:r>
      </w:hyperlink>
      <w:r>
        <w:t xml:space="preserve"> к Положению и раскрывается на Специальной странице в формате ".html", ".rtf", ".txt" или ".pdf". В дополнение к указанному формату Участник рынка может раскрывать информацию о расчете собственных сре</w:t>
      </w:r>
      <w:proofErr w:type="gramStart"/>
      <w:r>
        <w:t>дств в др</w:t>
      </w:r>
      <w:proofErr w:type="gramEnd"/>
      <w:r>
        <w:t>угих наиболее распространенных форматах, определяемых им самостоятельно.</w:t>
      </w:r>
    </w:p>
    <w:p w:rsidR="00520407" w:rsidRDefault="00520407">
      <w:pPr>
        <w:pStyle w:val="ConsPlusNormal"/>
        <w:ind w:firstLine="540"/>
        <w:jc w:val="both"/>
      </w:pPr>
      <w:r>
        <w:t>2. Настоящий Приказ не распространяется на кредитные организации.</w:t>
      </w:r>
    </w:p>
    <w:p w:rsidR="00520407" w:rsidRDefault="00520407">
      <w:pPr>
        <w:pStyle w:val="ConsPlusNormal"/>
        <w:ind w:firstLine="540"/>
        <w:jc w:val="both"/>
      </w:pPr>
      <w:r>
        <w:t>3. Признать утратившими силу:</w:t>
      </w:r>
    </w:p>
    <w:p w:rsidR="00520407" w:rsidRDefault="00520407">
      <w:pPr>
        <w:pStyle w:val="ConsPlusNormal"/>
        <w:ind w:firstLine="540"/>
        <w:jc w:val="both"/>
      </w:pPr>
      <w:hyperlink r:id="rId11" w:history="1">
        <w:proofErr w:type="gramStart"/>
        <w:r>
          <w:rPr>
            <w:color w:val="0000FF"/>
          </w:rPr>
          <w:t>пункт 16</w:t>
        </w:r>
      </w:hyperlink>
      <w:r>
        <w:t xml:space="preserve"> нормативов достаточности собственных средств профессиональных участников рынка ценных бумаг, а также управляющих компаний инвестиционных фондов, паевых инвестиционных фондов и негосударственных пенсионных фондов, утвержденных Приказом ФСФР России от 24.04.2007 N 07-50/пз-н (зарегистрирован в Министерстве юстиции Российской Федерации 22.05.2007, регистрационный N 9525) с изменениями, внесенными Приказами ФСФР России от 25.12.2007 N 07-112/пз-н (зарегистрирован в Минюсте России 28.01.2008, регистрационный</w:t>
      </w:r>
      <w:proofErr w:type="gramEnd"/>
      <w:r>
        <w:t xml:space="preserve"> </w:t>
      </w:r>
      <w:proofErr w:type="gramStart"/>
      <w:r>
        <w:t>N 11006), от 23.10.2008 N 08-40/пз-н (зарегистрирован в Минюсте России 30.01.2009, регистрационный N 13227), от 30.07.2009 N 09-29/пз-н (зарегистрирован в Минюсте России 17.09.2009, регистрационный N 14792);</w:t>
      </w:r>
      <w:proofErr w:type="gramEnd"/>
    </w:p>
    <w:p w:rsidR="00520407" w:rsidRDefault="00520407">
      <w:pPr>
        <w:pStyle w:val="ConsPlusNormal"/>
        <w:ind w:firstLine="540"/>
        <w:jc w:val="both"/>
      </w:pPr>
      <w:hyperlink r:id="rId12" w:history="1">
        <w:proofErr w:type="gramStart"/>
        <w:r>
          <w:rPr>
            <w:color w:val="0000FF"/>
          </w:rPr>
          <w:t>Приказ</w:t>
        </w:r>
      </w:hyperlink>
      <w:r>
        <w:t xml:space="preserve"> ФСФР России от 23.10.2008 N 08-40/пз-н "О внесении изменений в нормативы достаточности собственных средств профессиональных участников рынка ценных бумаг, а также управляющих компаний инвестиционных фондов, паевых инвестиционных фондов и негосударственных пенсионных фондов, утвержденные Приказом Федеральной службы по финансовым рынкам от 24 апреля 2007 г. N 07-50/пз-н" (зарегистрирован в Министерстве юстиции Российской Федерации 30.01.2009, регистрационный N 13227).</w:t>
      </w:r>
      <w:proofErr w:type="gramEnd"/>
    </w:p>
    <w:p w:rsidR="00520407" w:rsidRDefault="00520407">
      <w:pPr>
        <w:pStyle w:val="ConsPlusNormal"/>
        <w:ind w:firstLine="540"/>
        <w:jc w:val="both"/>
      </w:pPr>
      <w:r>
        <w:t>4. Настоящий Приказ вступает в силу по истечении 30 дней после дня его официального опубликования.</w:t>
      </w:r>
    </w:p>
    <w:p w:rsidR="00520407" w:rsidRDefault="00520407">
      <w:pPr>
        <w:pStyle w:val="ConsPlusNormal"/>
        <w:ind w:firstLine="540"/>
        <w:jc w:val="both"/>
      </w:pPr>
    </w:p>
    <w:p w:rsidR="00520407" w:rsidRDefault="00520407">
      <w:pPr>
        <w:pStyle w:val="ConsPlusNormal"/>
        <w:jc w:val="right"/>
      </w:pPr>
      <w:r>
        <w:t>Руководитель</w:t>
      </w:r>
    </w:p>
    <w:p w:rsidR="00520407" w:rsidRDefault="00520407">
      <w:pPr>
        <w:pStyle w:val="ConsPlusNormal"/>
        <w:jc w:val="right"/>
      </w:pPr>
      <w:r>
        <w:t>В.Д.МИЛОВИДОВ</w:t>
      </w:r>
    </w:p>
    <w:p w:rsidR="00520407" w:rsidRDefault="00520407">
      <w:pPr>
        <w:pStyle w:val="ConsPlusNormal"/>
        <w:ind w:firstLine="540"/>
        <w:jc w:val="both"/>
      </w:pPr>
    </w:p>
    <w:p w:rsidR="00520407" w:rsidRDefault="00520407">
      <w:pPr>
        <w:pStyle w:val="ConsPlusNormal"/>
        <w:ind w:firstLine="540"/>
        <w:jc w:val="both"/>
      </w:pPr>
    </w:p>
    <w:p w:rsidR="00520407" w:rsidRDefault="00520407">
      <w:pPr>
        <w:pStyle w:val="ConsPlusNormal"/>
        <w:pBdr>
          <w:top w:val="single" w:sz="6" w:space="0" w:color="auto"/>
        </w:pBdr>
        <w:spacing w:before="100" w:after="100"/>
        <w:jc w:val="both"/>
        <w:rPr>
          <w:sz w:val="2"/>
          <w:szCs w:val="2"/>
        </w:rPr>
      </w:pPr>
    </w:p>
    <w:p w:rsidR="00F71D9B" w:rsidRDefault="00F71D9B">
      <w:bookmarkStart w:id="1" w:name="_GoBack"/>
      <w:bookmarkEnd w:id="1"/>
    </w:p>
    <w:sectPr w:rsidR="00F71D9B" w:rsidSect="00AE2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407"/>
    <w:rsid w:val="00520407"/>
    <w:rsid w:val="00F71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040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4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4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04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CDA9D3EEC87E5CD2A90C9924D9845FFF18208C582F2526D8C346B12EF5BFF40EE3B0A73492C942M3AF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7CDA9D3EEC87E5CD2A90C9924D9845FFC1923845E242526D8C346B12EF5BFF40EE3B0A73492C04DM3A9L" TargetMode="External"/><Relationship Id="rId12" Type="http://schemas.openxmlformats.org/officeDocument/2006/relationships/hyperlink" Target="consultantplus://offline/ref=77CDA9D3EEC87E5CD2A90C9924D9845FF61D26805F26782CD09A4AB3M2A9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7CDA9D3EEC87E5CD2A90C9924D9845FFC19228C5C242526D8C346B12EF5BFF40EE3B0A3M3ADL" TargetMode="External"/><Relationship Id="rId11" Type="http://schemas.openxmlformats.org/officeDocument/2006/relationships/hyperlink" Target="consultantplus://offline/ref=77CDA9D3EEC87E5CD2A90C9924D9845FF61D268C5D26782CD09A4AB329FAE0E309AABCMAA1L"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77CDA9D3EEC87E5CD2A90C9924D9845FFF192187522D2526D8C346B12EF5BFF40EE3B0A73492C94DM3A9L" TargetMode="External"/><Relationship Id="rId4" Type="http://schemas.openxmlformats.org/officeDocument/2006/relationships/webSettings" Target="webSettings.xml"/><Relationship Id="rId9" Type="http://schemas.openxmlformats.org/officeDocument/2006/relationships/hyperlink" Target="consultantplus://offline/ref=77CDA9D3EEC87E5CD2A90C9924D9845FFF192187522D2526D8C346B12EF5BFF40EE3B0A73492C945M3AC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Серебряницкая Ольга Евгеньевна</dc:creator>
  <cp:lastModifiedBy>Серебряницкая Ольга Евгеньевна</cp:lastModifiedBy>
  <cp:revision>1</cp:revision>
  <dcterms:created xsi:type="dcterms:W3CDTF">2017-03-07T11:00:00Z</dcterms:created>
  <dcterms:modified xsi:type="dcterms:W3CDTF">2017-03-07T11:00:00Z</dcterms:modified>
</cp:coreProperties>
</file>