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1D9" w:rsidRDefault="002631D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631D9" w:rsidRDefault="002631D9">
      <w:pPr>
        <w:pStyle w:val="ConsPlusNormal"/>
        <w:jc w:val="both"/>
        <w:outlineLvl w:val="0"/>
      </w:pPr>
    </w:p>
    <w:p w:rsidR="002631D9" w:rsidRDefault="002631D9">
      <w:pPr>
        <w:pStyle w:val="ConsPlusNormal"/>
      </w:pPr>
      <w:r>
        <w:t>Зарегистрировано в Минюсте России 15 августа 2016 г. N 43234</w:t>
      </w:r>
    </w:p>
    <w:p w:rsidR="002631D9" w:rsidRDefault="002631D9">
      <w:pPr>
        <w:pStyle w:val="ConsPlusNormal"/>
        <w:pBdr>
          <w:top w:val="single" w:sz="6" w:space="0" w:color="auto"/>
        </w:pBdr>
        <w:spacing w:before="100" w:after="100"/>
        <w:jc w:val="both"/>
        <w:rPr>
          <w:sz w:val="2"/>
          <w:szCs w:val="2"/>
        </w:rPr>
      </w:pPr>
    </w:p>
    <w:p w:rsidR="002631D9" w:rsidRDefault="002631D9">
      <w:pPr>
        <w:pStyle w:val="ConsPlusNormal"/>
        <w:jc w:val="both"/>
      </w:pPr>
    </w:p>
    <w:p w:rsidR="002631D9" w:rsidRDefault="002631D9">
      <w:pPr>
        <w:pStyle w:val="ConsPlusTitle"/>
        <w:jc w:val="center"/>
      </w:pPr>
      <w:r>
        <w:t>ЦЕНТРАЛЬНЫЙ БАНК РОССИЙСКОЙ ФЕДЕРАЦИИ</w:t>
      </w:r>
    </w:p>
    <w:p w:rsidR="002631D9" w:rsidRDefault="002631D9">
      <w:pPr>
        <w:pStyle w:val="ConsPlusTitle"/>
        <w:jc w:val="center"/>
      </w:pPr>
    </w:p>
    <w:p w:rsidR="002631D9" w:rsidRDefault="002631D9">
      <w:pPr>
        <w:pStyle w:val="ConsPlusTitle"/>
        <w:jc w:val="center"/>
      </w:pPr>
      <w:r>
        <w:t>УКАЗАНИЕ</w:t>
      </w:r>
    </w:p>
    <w:p w:rsidR="002631D9" w:rsidRDefault="002631D9">
      <w:pPr>
        <w:pStyle w:val="ConsPlusTitle"/>
        <w:jc w:val="center"/>
      </w:pPr>
      <w:r>
        <w:t>от 19 июля 2016 г. N 4075-У</w:t>
      </w:r>
    </w:p>
    <w:p w:rsidR="002631D9" w:rsidRDefault="002631D9">
      <w:pPr>
        <w:pStyle w:val="ConsPlusTitle"/>
        <w:jc w:val="center"/>
      </w:pPr>
    </w:p>
    <w:p w:rsidR="002631D9" w:rsidRDefault="002631D9">
      <w:pPr>
        <w:pStyle w:val="ConsPlusTitle"/>
        <w:jc w:val="center"/>
      </w:pPr>
      <w:r>
        <w:t>О ТРЕБОВАНИЯХ</w:t>
      </w:r>
    </w:p>
    <w:p w:rsidR="002631D9" w:rsidRDefault="002631D9">
      <w:pPr>
        <w:pStyle w:val="ConsPlusTitle"/>
        <w:jc w:val="center"/>
      </w:pPr>
      <w:r>
        <w:t>К СОБСТВЕННЫМ СРЕДСТВАМ УПРАВЛЯЮЩИХ КОМПАНИЙ ИНВЕСТИЦИОННЫХ</w:t>
      </w:r>
    </w:p>
    <w:p w:rsidR="002631D9" w:rsidRDefault="002631D9">
      <w:pPr>
        <w:pStyle w:val="ConsPlusTitle"/>
        <w:jc w:val="center"/>
      </w:pPr>
      <w:r>
        <w:t>ФОНДОВ, ПАЕВЫХ ИНВЕСТИЦИОННЫХ ФОНДОВ И НЕГОСУДАРСТВЕННЫХ</w:t>
      </w:r>
    </w:p>
    <w:p w:rsidR="002631D9" w:rsidRDefault="002631D9">
      <w:pPr>
        <w:pStyle w:val="ConsPlusTitle"/>
        <w:jc w:val="center"/>
      </w:pPr>
      <w:r>
        <w:t>ПЕНСИОННЫХ ФОНДОВ И СОИСКАТЕЛЕЙ ЛИЦЕНЗИИ</w:t>
      </w:r>
    </w:p>
    <w:p w:rsidR="002631D9" w:rsidRDefault="002631D9">
      <w:pPr>
        <w:pStyle w:val="ConsPlusTitle"/>
        <w:jc w:val="center"/>
      </w:pPr>
      <w:r>
        <w:t>УПРАВЛЯЮЩЕЙ КОМПАНИИ</w:t>
      </w:r>
    </w:p>
    <w:p w:rsidR="002631D9" w:rsidRDefault="002631D9">
      <w:pPr>
        <w:pStyle w:val="ConsPlusNormal"/>
        <w:jc w:val="both"/>
      </w:pPr>
    </w:p>
    <w:p w:rsidR="002631D9" w:rsidRDefault="002631D9">
      <w:pPr>
        <w:pStyle w:val="ConsPlusNormal"/>
        <w:ind w:firstLine="540"/>
        <w:jc w:val="both"/>
      </w:pPr>
      <w:proofErr w:type="gramStart"/>
      <w:r>
        <w:t xml:space="preserve">Настоящее Указание на основании </w:t>
      </w:r>
      <w:hyperlink r:id="rId6" w:history="1">
        <w:r>
          <w:rPr>
            <w:color w:val="0000FF"/>
          </w:rPr>
          <w:t>статьи 76.4</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2003, N 2, ст. 157; N 52, ст. 5032; 2004, N 27, ст. 2711; N 31, ст. 3233; 2005, N 25, ст. 2426;</w:t>
      </w:r>
      <w:proofErr w:type="gramEnd"/>
      <w:r>
        <w:t xml:space="preserve"> N 30, ст. 3101; 2006, N 19, ст. 2061; N 25, ст. 2648; 2007, N 1, ст. 9, ст. 10; N 10, ст. 1151; N 18, ст. 2117; 2008, N 42, ст. 4696, ст. 4699; N 44, ст. 4982; N 52, ст. 6229, ст. 6231; 2009, N 1, ст. 25; N 29, ст. 3629; N 48, ст. 5731; 2010, N 45, ст. 5756; 2011, N 7, ст. 907; N 27, ст. 3873; N 43, ст. 5973; N 48, ст. 6728; 2012, N 50, ст. 6954; N 53, ст. 7591, ст. 7607; 2013, N 11, ст. 1076; N 14, ст. 1649; </w:t>
      </w:r>
      <w:proofErr w:type="gramStart"/>
      <w:r>
        <w:t>N 19, ст. 2329; N 27, ст. 3438, ст. 3476, ст. 3477; N 30, ст. 4084; N 49, ст. 6336; N 51, ст. 6695, ст. 6699; N 52, ст. 6975; 2014, N 19, ст. 2311, ст. 2317; N 27, ст. 3634; N 30, ст. 4219; N 40, ст. 5318; N 45, ст. 6154;</w:t>
      </w:r>
      <w:proofErr w:type="gramEnd"/>
      <w:r>
        <w:t xml:space="preserve"> N 52, ст. 7543; 2015, N 1, ст. 4, ст. 37; N 27, ст. 3958, ст. 4001; N 29, ст. 4348, ст. 4357; N 41, ст. 5639; N 48, ст. 6699; 2016, N 1, ст. 23, ст. 46 ст. 50; N 27, ст. 4225; </w:t>
      </w:r>
      <w:proofErr w:type="gramStart"/>
      <w:r>
        <w:t xml:space="preserve">"Официальный интернет-портал правовой информации" (www.pravo.gov.ru), 4 июля 2016 года), </w:t>
      </w:r>
      <w:hyperlink r:id="rId7" w:history="1">
        <w:r>
          <w:rPr>
            <w:color w:val="0000FF"/>
          </w:rPr>
          <w:t>пункта 6 статьи 38</w:t>
        </w:r>
      </w:hyperlink>
      <w:r>
        <w:t xml:space="preserve">, </w:t>
      </w:r>
      <w:hyperlink r:id="rId8" w:history="1">
        <w:r>
          <w:rPr>
            <w:color w:val="0000FF"/>
          </w:rPr>
          <w:t>подпункта 3 пункта 3</w:t>
        </w:r>
      </w:hyperlink>
      <w:r>
        <w:t xml:space="preserve"> и </w:t>
      </w:r>
      <w:hyperlink r:id="rId9" w:history="1">
        <w:r>
          <w:rPr>
            <w:color w:val="0000FF"/>
          </w:rPr>
          <w:t>подпункта 8 пункта 5 статьи 60.1</w:t>
        </w:r>
      </w:hyperlink>
      <w:r>
        <w:t xml:space="preserve"> Федерального закона от 29 ноября 2001 года N 156-ФЗ "Об инвестиционных фондах" (Собрание законодательства Российской Федерации, 2001, N 49, ст. 4562; 2004, N 27, ст. 2711;</w:t>
      </w:r>
      <w:proofErr w:type="gramEnd"/>
      <w:r>
        <w:t xml:space="preserve"> 2006, N 17, ст. 1780; 2007, N 50, ст. 6247; 2008, N 30, ст. 3616; 2009, N 48, ст. 5731; 2010, N 17, ст. 1988; N 31, ст. 4193; 2011, N 48, ст. 6728; N 49, ст. 7040, ст. 7061; 2012, N 31, ст. 4334; 2013, N 26, ст. 3207; N 27, ст. 3477; N 30, ст. 4084; N 51, ст. 6695, ст. 6699; 2014, N 11, ст. 1098; 2015, N 27, ст. 4001; 2016, N 1, ст. 47; N 23, ст. 3301; </w:t>
      </w:r>
      <w:proofErr w:type="gramStart"/>
      <w:r>
        <w:t>N 27, ст. 4225) и в соответствии с решением Совета директоров Банка России (протокол заседания Совета директоров Банка России от 5 июля 2016 года N 18) устанавливает требования к собственным средствам управляющих компаний инвестиционных фондов, паевых инвестиционных фондов и негосударственных пенсионных фондов и соискателей лицензии управляющей компании.</w:t>
      </w:r>
      <w:proofErr w:type="gramEnd"/>
    </w:p>
    <w:p w:rsidR="002631D9" w:rsidRDefault="002631D9">
      <w:pPr>
        <w:pStyle w:val="ConsPlusNormal"/>
        <w:ind w:firstLine="540"/>
        <w:jc w:val="both"/>
      </w:pPr>
      <w:r>
        <w:t>1. Размер собственных средств управляющей компании инвестиционных фондов, паевых инвестиционных фондов и негосударственных пенсионных фондов, соискателя лицензии управляющей компании (далее - управляющая компания) рассчитывается как разница между стоимостью активов и суммой обязательств управляющей компании.</w:t>
      </w:r>
    </w:p>
    <w:p w:rsidR="002631D9" w:rsidRDefault="002631D9">
      <w:pPr>
        <w:pStyle w:val="ConsPlusNormal"/>
        <w:ind w:firstLine="540"/>
        <w:jc w:val="both"/>
      </w:pPr>
      <w:r>
        <w:t>К расчету собственных средств управляющей компании не принимаются активы, находящиеся в доверительном управлении управляющей компании, и обязательства, подлежащие исполнению за счет указанных активов.</w:t>
      </w:r>
    </w:p>
    <w:p w:rsidR="002631D9" w:rsidRDefault="002631D9">
      <w:pPr>
        <w:pStyle w:val="ConsPlusNormal"/>
        <w:ind w:firstLine="540"/>
        <w:jc w:val="both"/>
      </w:pPr>
      <w:proofErr w:type="gramStart"/>
      <w:r>
        <w:t>Активы, в которые размещены средства управляющей компании, переданные в доверительное управление (включая остаток денежных средств на счетах доверительного управления у доверительного управляющего), а также обязательства по сделкам, заключенным в рамках доверительного управления указанными средствами, включаются при расчете собственных средств управляющей компании в состав активов (обязательств) управляющей компании на дату расчета собственных средств (далее - расчетная дата).</w:t>
      </w:r>
      <w:proofErr w:type="gramEnd"/>
    </w:p>
    <w:p w:rsidR="002631D9" w:rsidRDefault="002631D9">
      <w:pPr>
        <w:pStyle w:val="ConsPlusNormal"/>
        <w:ind w:firstLine="540"/>
        <w:jc w:val="both"/>
      </w:pPr>
      <w:r>
        <w:t xml:space="preserve">Стоимость активов, за исключением недвижимого имущества, и сумма обязательств управляющей компании определяются на расчетную дату на основании данных бухгалтерского </w:t>
      </w:r>
      <w:r>
        <w:lastRenderedPageBreak/>
        <w:t>учета, если иное не установлено настоящим Указанием.</w:t>
      </w:r>
    </w:p>
    <w:p w:rsidR="002631D9" w:rsidRDefault="002631D9">
      <w:pPr>
        <w:pStyle w:val="ConsPlusNormal"/>
        <w:ind w:firstLine="540"/>
        <w:jc w:val="both"/>
      </w:pPr>
      <w:r>
        <w:t xml:space="preserve">Активы, которые могут быть отнесены к объектам оценки в соответствии со </w:t>
      </w:r>
      <w:hyperlink r:id="rId10" w:history="1">
        <w:r>
          <w:rPr>
            <w:color w:val="0000FF"/>
          </w:rPr>
          <w:t>статьей 5</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N 12, ст. 1093; N 46, ст. 4537; </w:t>
      </w:r>
      <w:proofErr w:type="gramStart"/>
      <w:r>
        <w:t>2003, N 2, ст. 167; N 9, ст. 805; 2004, N 35, ст. 3607; 2006, N 31, ст. 3456; 2007, N 7, ст. 834; N 29, ст. 3482; N 31, ст. 4016; 2008, N 27, ст. 3126; 2009, N 19, ст. 2281; N 29, ст. 3582; N 52, ст. 6419, ст. 6450;</w:t>
      </w:r>
      <w:proofErr w:type="gramEnd"/>
      <w:r>
        <w:t xml:space="preserve"> 2010, N 30, ст. 3998; 2011, N 1, ст. 43; N 27, ст. 3880; N 29, ст. 4291; N 48, ст. 6728; N 49, ст. 7024, ст. 7061; 2013, N 23, ст. 2871; N 27, ст. 3477; N 30, ст. 4082; 2014, N 11, ст. 1098; N 23, ст. 2928; N 26, ст. 3377; N 30, ст. 4226; 2015, N 1, ст. 52; N 10, ст. 1418; N 24, ст. 3372; N 29, ст. 4342, ст. 4350; 2016, N 1, ст. 11; N 18, ст. 2487; N 23, ст. 3296; N 26, ст. 3890; </w:t>
      </w:r>
      <w:proofErr w:type="gramStart"/>
      <w:r>
        <w:t>"Официальный интернет-портал правовой информации" (www.pravo.gov.ru), 4 июля 2016 года) (далее - Федеральный закон "Об оценочной деятельности в Российской Федерации"), могут приниматься к расчету собственных средств управляющей компании исходя из указанной в отчете оценщика стоимости только при наличии положительного экспертного заключения, содержащего вывод о подтверждении стоимости объекта оценки, определенной оценщиком в отчете об оценке, подготовленного в соответствии с Федеральным</w:t>
      </w:r>
      <w:proofErr w:type="gramEnd"/>
      <w:r>
        <w:t xml:space="preserve"> </w:t>
      </w:r>
      <w:hyperlink r:id="rId11" w:history="1">
        <w:r>
          <w:rPr>
            <w:color w:val="0000FF"/>
          </w:rPr>
          <w:t>законом</w:t>
        </w:r>
      </w:hyperlink>
      <w:r>
        <w:t xml:space="preserve"> "Об оценочной деятельности в Российской Федерации" (далее - положительное экспертное заключение). При этом оценка активов, принимаемых к расчету собственных средств управляющей компании в оценке в соответствии с отчетом оценщика, должна быть произведена не ранее шести месяцев до расчетной даты.</w:t>
      </w:r>
    </w:p>
    <w:p w:rsidR="002631D9" w:rsidRDefault="002631D9">
      <w:pPr>
        <w:pStyle w:val="ConsPlusNormal"/>
        <w:ind w:firstLine="540"/>
        <w:jc w:val="both"/>
      </w:pPr>
      <w:r>
        <w:t>Недвижимое имущество принимается к расчету собственных средств управляющей компании исходя из указанной в отчете оценщика стоимости только при наличии положительного экспертного заключения и при условии, что оценка недвижимого имущества произведена не ранее шести месяцев до расчетной даты.</w:t>
      </w:r>
    </w:p>
    <w:p w:rsidR="002631D9" w:rsidRDefault="002631D9">
      <w:pPr>
        <w:pStyle w:val="ConsPlusNormal"/>
        <w:ind w:firstLine="540"/>
        <w:jc w:val="both"/>
      </w:pPr>
      <w:r>
        <w:t>Стоимость активов и сумма обязательств, выраженные в иностранной валюте, подлежат пересчету в валюту Российской Федерации по официальному курсу, установленному Банком России на расчетную дату.</w:t>
      </w:r>
    </w:p>
    <w:p w:rsidR="002631D9" w:rsidRDefault="002631D9">
      <w:pPr>
        <w:pStyle w:val="ConsPlusNormal"/>
        <w:ind w:firstLine="540"/>
        <w:jc w:val="both"/>
      </w:pPr>
      <w:r>
        <w:t>Стоимость активов определяется с учетом начисленных на расчетную дату процентов (накопленного купонного дохода).</w:t>
      </w:r>
    </w:p>
    <w:p w:rsidR="002631D9" w:rsidRDefault="002631D9">
      <w:pPr>
        <w:pStyle w:val="ConsPlusNormal"/>
        <w:ind w:firstLine="540"/>
        <w:jc w:val="both"/>
      </w:pPr>
      <w:r>
        <w:t>Управляющая компания должна обеспечить хранение информации о соответствии размера и расчета собственных средств управляющей компании требованиям настоящего Указания не менее пяти лет.</w:t>
      </w:r>
    </w:p>
    <w:p w:rsidR="002631D9" w:rsidRDefault="002631D9">
      <w:pPr>
        <w:pStyle w:val="ConsPlusNormal"/>
        <w:ind w:firstLine="540"/>
        <w:jc w:val="both"/>
      </w:pPr>
      <w:r>
        <w:t>2. В состав активов, принимаемых к расчету собственных средств управляющей компании, включаются следующие активы:</w:t>
      </w:r>
    </w:p>
    <w:p w:rsidR="002631D9" w:rsidRDefault="002631D9">
      <w:pPr>
        <w:pStyle w:val="ConsPlusNormal"/>
        <w:ind w:firstLine="540"/>
        <w:jc w:val="both"/>
      </w:pPr>
      <w:bookmarkStart w:id="0" w:name="P26"/>
      <w:bookmarkEnd w:id="0"/>
      <w:r>
        <w:t xml:space="preserve">денежные средства в рублях и иностранной валюте на расчетных счетах в кредитных организациях, которым присвоен рейтинг долгосрочной кредитоспособности не ниже </w:t>
      </w:r>
      <w:hyperlink r:id="rId12" w:history="1">
        <w:r>
          <w:rPr>
            <w:color w:val="0000FF"/>
          </w:rPr>
          <w:t>уровня</w:t>
        </w:r>
      </w:hyperlink>
      <w:r>
        <w:t>, установленного Советом директоров Банка России;</w:t>
      </w:r>
    </w:p>
    <w:p w:rsidR="002631D9" w:rsidRDefault="002631D9">
      <w:pPr>
        <w:pStyle w:val="ConsPlusNormal"/>
        <w:ind w:firstLine="540"/>
        <w:jc w:val="both"/>
      </w:pPr>
      <w:r>
        <w:t xml:space="preserve">депозиты в рублях и иностранной валюте в кредитных организациях, которым присвоен рейтинг долгосрочной кредитоспособности не ниже </w:t>
      </w:r>
      <w:hyperlink r:id="rId13" w:history="1">
        <w:r>
          <w:rPr>
            <w:color w:val="0000FF"/>
          </w:rPr>
          <w:t>уровня</w:t>
        </w:r>
      </w:hyperlink>
      <w:r>
        <w:t>, установленного Советом директоров Банка России;</w:t>
      </w:r>
    </w:p>
    <w:p w:rsidR="002631D9" w:rsidRDefault="002631D9">
      <w:pPr>
        <w:pStyle w:val="ConsPlusNormal"/>
        <w:ind w:firstLine="540"/>
        <w:jc w:val="both"/>
      </w:pPr>
      <w:r>
        <w:t xml:space="preserve">облигации, рейтинг долгосрочной кредитоспособности выпуска которых (при отсутствии рейтинга выпуска - рейтинг эмитента или рейтинг поручителя (гаранта) не ниже </w:t>
      </w:r>
      <w:hyperlink r:id="rId14" w:history="1">
        <w:r>
          <w:rPr>
            <w:color w:val="0000FF"/>
          </w:rPr>
          <w:t>уровня</w:t>
        </w:r>
      </w:hyperlink>
      <w:r>
        <w:t>, установленного Советом директоров Банка России;</w:t>
      </w:r>
    </w:p>
    <w:p w:rsidR="002631D9" w:rsidRDefault="002631D9">
      <w:pPr>
        <w:pStyle w:val="ConsPlusNormal"/>
        <w:ind w:firstLine="540"/>
        <w:jc w:val="both"/>
      </w:pPr>
      <w:bookmarkStart w:id="1" w:name="P29"/>
      <w:bookmarkEnd w:id="1"/>
      <w:r>
        <w:t>акции, включенные в котировальный список первого (высшего) уровня хотя бы одной из российских бирж;</w:t>
      </w:r>
    </w:p>
    <w:p w:rsidR="002631D9" w:rsidRDefault="002631D9">
      <w:pPr>
        <w:pStyle w:val="ConsPlusNormal"/>
        <w:ind w:firstLine="540"/>
        <w:jc w:val="both"/>
      </w:pPr>
      <w:bookmarkStart w:id="2" w:name="P30"/>
      <w:bookmarkEnd w:id="2"/>
      <w:r>
        <w:t>недвижимое имущество, используемое управляющей компанией для обеспечения своей деятельности, в том числе для управленческих нужд, принятое управляющей компанией к бухгалтерскому учету как основные средства;</w:t>
      </w:r>
    </w:p>
    <w:p w:rsidR="002631D9" w:rsidRDefault="002631D9">
      <w:pPr>
        <w:pStyle w:val="ConsPlusNormal"/>
        <w:ind w:firstLine="540"/>
        <w:jc w:val="both"/>
      </w:pPr>
      <w:bookmarkStart w:id="3" w:name="P31"/>
      <w:bookmarkEnd w:id="3"/>
      <w:r>
        <w:t xml:space="preserve">дебиторская задолженность, по которой дебитор имеет рейтинг долгосрочной кредитоспособности не ниже </w:t>
      </w:r>
      <w:hyperlink r:id="rId15" w:history="1">
        <w:r>
          <w:rPr>
            <w:color w:val="0000FF"/>
          </w:rPr>
          <w:t>уровня</w:t>
        </w:r>
      </w:hyperlink>
      <w:r>
        <w:t>, установленного Советом директоров Банка России.</w:t>
      </w:r>
    </w:p>
    <w:p w:rsidR="002631D9" w:rsidRDefault="002631D9">
      <w:pPr>
        <w:pStyle w:val="ConsPlusNormal"/>
        <w:ind w:firstLine="540"/>
        <w:jc w:val="both"/>
      </w:pPr>
      <w:r>
        <w:t>3. К расчету собственных средств управляющей компании не принимаются следующие активы:</w:t>
      </w:r>
    </w:p>
    <w:p w:rsidR="002631D9" w:rsidRDefault="002631D9">
      <w:pPr>
        <w:pStyle w:val="ConsPlusNormal"/>
        <w:ind w:firstLine="540"/>
        <w:jc w:val="both"/>
      </w:pPr>
      <w:proofErr w:type="gramStart"/>
      <w:r>
        <w:t xml:space="preserve">денежные средства на счетах в кредитных организациях и финансовые вложения в кредитные организации, у которых на расчетную дату отозвана лицензия на осуществление </w:t>
      </w:r>
      <w:r>
        <w:lastRenderedPageBreak/>
        <w:t>банковских операций, финансовые вложения в организации, задолженность лиц, которые по состоянию на расчетную дату ликвидированы, находятся в процессе ликвидации или признаны несостоятельными (банкротами) либо в отношении которых введены процедуры банкротства или установлены признаки банкротства в порядке, предусмотренном законодательством</w:t>
      </w:r>
      <w:proofErr w:type="gramEnd"/>
      <w:r>
        <w:t xml:space="preserve"> Российской Федерации;</w:t>
      </w:r>
    </w:p>
    <w:p w:rsidR="002631D9" w:rsidRDefault="002631D9">
      <w:pPr>
        <w:pStyle w:val="ConsPlusNormal"/>
        <w:ind w:firstLine="540"/>
        <w:jc w:val="both"/>
      </w:pPr>
      <w:r>
        <w:t>активы, распоряжение которыми ограничено на основании решения органа государственной власти или на которые установлено обременение;</w:t>
      </w:r>
    </w:p>
    <w:p w:rsidR="002631D9" w:rsidRDefault="002631D9">
      <w:pPr>
        <w:pStyle w:val="ConsPlusNormal"/>
        <w:ind w:firstLine="540"/>
        <w:jc w:val="both"/>
      </w:pPr>
      <w:proofErr w:type="gramStart"/>
      <w:r>
        <w:t xml:space="preserve">субординированные депозиты (в целях настоящего Указания субординированные депозиты понимаются в значении, определенном в </w:t>
      </w:r>
      <w:hyperlink r:id="rId16" w:history="1">
        <w:r>
          <w:rPr>
            <w:color w:val="0000FF"/>
          </w:rPr>
          <w:t>статье 25.1</w:t>
        </w:r>
      </w:hyperlink>
      <w:r>
        <w:t xml:space="preserve"> Федерального закона от 2 декабря 1990 года N 395-1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w:t>
      </w:r>
      <w:proofErr w:type="gramEnd"/>
      <w:r>
        <w:t xml:space="preserve"> Собрание законодательства Российской Федерации, 1996, N 6, ст. 492; 1998, N 31, ст. 3829; 1999, N 28, ст. 3459, ст. 3469; 2001, N 26, ст. 2586; N 33, ст. 3424; 2002, N 12, ст. 1093; 2003, N 27, ст. 2700; N 50, ст. 4855; N 52, ст. 5033, ст. 5037; 2004, N 27, ст. 2711; N 31, ст. 3233; 2005, N 1, ст. 18, ст. 45; N 30, ст. 3117; 2006, N 6, ст. 636; N 19, ст. 2061; N 31, ст. 3439; N 52, ст. 5497; 2007, N 1, ст. 9; N 22, ст. 2563; N 31, ст. 4011; </w:t>
      </w:r>
      <w:proofErr w:type="gramStart"/>
      <w:r>
        <w:t>N 41, ст. 4845; N 45, ст. 5425; N 50, ст. 6238; 2008, N 10, ст. 895; 2009, N 1, ст. 23; N 9, ст. 1043; N 18, ст. 2153; N 23, ст. 2776; N 30, ст. 3739; N 48, ст. 5731; N 52, ст. 6428; 2010, N 8, ст. 775;</w:t>
      </w:r>
      <w:proofErr w:type="gramEnd"/>
      <w:r>
        <w:t xml:space="preserve"> </w:t>
      </w:r>
      <w:proofErr w:type="gramStart"/>
      <w:r>
        <w:t>N 27, ст. 3432; N 30, ст. 4012; N 31, ст. 4193; N 47, ст. 6028; 2011, N 7, ст. 905; N 27, ст. 3873, ст. 3880; N 29, ст. 4291; N 48, ст. 6730; N 49, ст. 7069; N 50, ст. 7351; 2012, N 27, ст. 3588; N 31, ст. 4333;</w:t>
      </w:r>
      <w:proofErr w:type="gramEnd"/>
      <w:r>
        <w:t xml:space="preserve"> </w:t>
      </w:r>
      <w:proofErr w:type="gramStart"/>
      <w:r>
        <w:t>N 50, ст. 6954; N 53, ст. 7605, ст. 7607; 2013, N 11, ст. 1076; N 19, ст. 2317, ст. 2329; N 26, ст. 3207; N 27, ст. 3438, ст. 3477; N 30, ст. 4084; N 40, ст. 5036; N 49, ст. 6336; N 51, ст. 6683, ст. 6699; 2014, N 6, ст. 563;</w:t>
      </w:r>
      <w:proofErr w:type="gramEnd"/>
      <w:r>
        <w:t xml:space="preserve"> </w:t>
      </w:r>
      <w:proofErr w:type="gramStart"/>
      <w:r>
        <w:t>N 19, ст. 2311; N 26, ст. 3379, ст. 3395; N 30, ст. 4219; N 40, ст. 5317, ст. 5320; N 45, ст. 6144, ст. 6154; N 49, ст. 6912; N 52, ст. 7543; 2015, N 1, ст. 37; N 17, ст. 2473; N 27, ст. 3947, ст. 3950; N 29, ст. 4355, ст. 4357, ст. 4385;</w:t>
      </w:r>
      <w:proofErr w:type="gramEnd"/>
      <w:r>
        <w:t xml:space="preserve"> </w:t>
      </w:r>
      <w:proofErr w:type="gramStart"/>
      <w:r>
        <w:t>N 51, ст. 7243; 2016, N 1, ст. 23; N 15, ст. 2050; N 26, ст. 3860; "Официальный интернет-портал правовой информации" (www.pravo.gov.ru), 4 июля 2016 года);</w:t>
      </w:r>
      <w:proofErr w:type="gramEnd"/>
    </w:p>
    <w:p w:rsidR="002631D9" w:rsidRDefault="002631D9">
      <w:pPr>
        <w:pStyle w:val="ConsPlusNormal"/>
        <w:ind w:firstLine="540"/>
        <w:jc w:val="both"/>
      </w:pPr>
      <w:r>
        <w:t>депозиты со сроком возврата более 90 дней от расчетной даты, размещенные на основании договоров, содержащих запрет на досрочный возврат таких депозитов, за исключением депозитов, размещенных на основании договоров, содержащих условие досрочного возврата таких депозитов в случае аннулирования лицензии управляющей компании;</w:t>
      </w:r>
    </w:p>
    <w:p w:rsidR="002631D9" w:rsidRDefault="002631D9">
      <w:pPr>
        <w:pStyle w:val="ConsPlusNormal"/>
        <w:ind w:firstLine="540"/>
        <w:jc w:val="both"/>
      </w:pPr>
      <w:r>
        <w:t>дебиторская задолженность со сроком возврата более 90 дней от расчетной даты;</w:t>
      </w:r>
    </w:p>
    <w:p w:rsidR="002631D9" w:rsidRDefault="002631D9">
      <w:pPr>
        <w:pStyle w:val="ConsPlusNormal"/>
        <w:ind w:firstLine="540"/>
        <w:jc w:val="both"/>
      </w:pPr>
      <w:r>
        <w:t>вложения в собственные акции (доли);</w:t>
      </w:r>
    </w:p>
    <w:p w:rsidR="002631D9" w:rsidRDefault="002631D9">
      <w:pPr>
        <w:pStyle w:val="ConsPlusNormal"/>
        <w:ind w:firstLine="540"/>
        <w:jc w:val="both"/>
      </w:pPr>
      <w:r>
        <w:t>задолженность учредителей (участников, акционеров) по вкладам в уставный капитал или по вкладам в имущество управляющей компании;</w:t>
      </w:r>
    </w:p>
    <w:p w:rsidR="002631D9" w:rsidRDefault="002631D9">
      <w:pPr>
        <w:pStyle w:val="ConsPlusNormal"/>
        <w:ind w:firstLine="540"/>
        <w:jc w:val="both"/>
      </w:pPr>
      <w:r>
        <w:t xml:space="preserve">дебиторская задолженность аффилированных лиц управляющей компании, денежные средства на расчетных счетах и депозиты в кредитных организациях, являющихся аффилированными лицами управляющей компании, ценные бумаги, эмитированные аффилированными лицами управляющей компании, за исключением случая, предусмотренного </w:t>
      </w:r>
      <w:hyperlink w:anchor="P55" w:history="1">
        <w:r>
          <w:rPr>
            <w:color w:val="0000FF"/>
          </w:rPr>
          <w:t>пунктом 6</w:t>
        </w:r>
      </w:hyperlink>
      <w:r>
        <w:t xml:space="preserve"> настоящего Указания;</w:t>
      </w:r>
    </w:p>
    <w:p w:rsidR="002631D9" w:rsidRDefault="002631D9">
      <w:pPr>
        <w:pStyle w:val="ConsPlusNormal"/>
        <w:ind w:firstLine="540"/>
        <w:jc w:val="both"/>
      </w:pPr>
      <w:r>
        <w:t>просроченная задолженность или задолженность, возникшая в результате соглашения об отступном или новации.</w:t>
      </w:r>
    </w:p>
    <w:p w:rsidR="002631D9" w:rsidRDefault="002631D9">
      <w:pPr>
        <w:pStyle w:val="ConsPlusNormal"/>
        <w:ind w:firstLine="540"/>
        <w:jc w:val="both"/>
      </w:pPr>
      <w:r>
        <w:t xml:space="preserve">4. Суммарная стоимость недвижимого имущества, указанного в </w:t>
      </w:r>
      <w:hyperlink w:anchor="P30" w:history="1">
        <w:r>
          <w:rPr>
            <w:color w:val="0000FF"/>
          </w:rPr>
          <w:t>абзаце шестом пункта 2</w:t>
        </w:r>
      </w:hyperlink>
      <w:r>
        <w:t xml:space="preserve"> настоящего Указания, принимается управляющей компанией к расчету собственных сре</w:t>
      </w:r>
      <w:proofErr w:type="gramStart"/>
      <w:r>
        <w:t>дств в р</w:t>
      </w:r>
      <w:proofErr w:type="gramEnd"/>
      <w:r>
        <w:t xml:space="preserve">азмере, не превышающем 50 процентов суммарной стоимости принятых к расчету собственных средств активов, указанных в </w:t>
      </w:r>
      <w:hyperlink w:anchor="P26" w:history="1">
        <w:r>
          <w:rPr>
            <w:color w:val="0000FF"/>
          </w:rPr>
          <w:t>абзацах втором</w:t>
        </w:r>
      </w:hyperlink>
      <w:r>
        <w:t xml:space="preserve"> - </w:t>
      </w:r>
      <w:hyperlink w:anchor="P29" w:history="1">
        <w:r>
          <w:rPr>
            <w:color w:val="0000FF"/>
          </w:rPr>
          <w:t>пятом</w:t>
        </w:r>
      </w:hyperlink>
      <w:r>
        <w:t xml:space="preserve"> и </w:t>
      </w:r>
      <w:hyperlink w:anchor="P31" w:history="1">
        <w:r>
          <w:rPr>
            <w:color w:val="0000FF"/>
          </w:rPr>
          <w:t>седьмом пункта 2</w:t>
        </w:r>
      </w:hyperlink>
      <w:r>
        <w:t xml:space="preserve"> настоящего Указания.</w:t>
      </w:r>
    </w:p>
    <w:p w:rsidR="002631D9" w:rsidRDefault="002631D9">
      <w:pPr>
        <w:pStyle w:val="ConsPlusNormal"/>
        <w:ind w:firstLine="540"/>
        <w:jc w:val="both"/>
      </w:pPr>
      <w:r>
        <w:t>5. Размер собственных средств управляющей компании, рассчитанный в соответствии с настоящим Указанием, должен быть не ниже минимального размера собственных средств управляющей компании.</w:t>
      </w:r>
    </w:p>
    <w:p w:rsidR="002631D9" w:rsidRDefault="002631D9">
      <w:pPr>
        <w:pStyle w:val="ConsPlusNormal"/>
        <w:ind w:firstLine="540"/>
        <w:jc w:val="both"/>
      </w:pPr>
      <w:r>
        <w:t>Минимальный размер собственных средств управляющей компании составляет:</w:t>
      </w:r>
    </w:p>
    <w:p w:rsidR="002631D9" w:rsidRDefault="002631D9">
      <w:pPr>
        <w:pStyle w:val="ConsPlusNormal"/>
        <w:ind w:firstLine="540"/>
        <w:jc w:val="both"/>
      </w:pPr>
      <w:r>
        <w:t>с 1 сентября 2016 года - 10 миллионов рублей;</w:t>
      </w:r>
    </w:p>
    <w:p w:rsidR="002631D9" w:rsidRDefault="002631D9">
      <w:pPr>
        <w:pStyle w:val="ConsPlusNormal"/>
        <w:ind w:firstLine="540"/>
        <w:jc w:val="both"/>
      </w:pPr>
      <w:r>
        <w:t>с 1 марта 2017 года - 15 миллионов рублей;</w:t>
      </w:r>
    </w:p>
    <w:p w:rsidR="002631D9" w:rsidRDefault="002631D9">
      <w:pPr>
        <w:pStyle w:val="ConsPlusNormal"/>
        <w:ind w:firstLine="540"/>
        <w:jc w:val="both"/>
      </w:pPr>
      <w:r>
        <w:t xml:space="preserve">с 1 сентября 2017 года - сумму 20 миллионов рублей и 0,02 процента от величины превышения суммарной стоимости средств, находящихся в доверительном управлении (управлении) управляющей компании, над 3 миллиардами рублей, но суммарно не более 80 </w:t>
      </w:r>
      <w:r>
        <w:lastRenderedPageBreak/>
        <w:t>миллионов рублей.</w:t>
      </w:r>
    </w:p>
    <w:p w:rsidR="002631D9" w:rsidRDefault="002631D9">
      <w:pPr>
        <w:pStyle w:val="ConsPlusNormal"/>
        <w:ind w:firstLine="540"/>
        <w:jc w:val="both"/>
      </w:pPr>
      <w:r>
        <w:t>Для целей настоящего пункта средства в доверительном управлении (управлении) управляющей компании рассчитываются как сумма положительных величин (на дату последнего расчета):</w:t>
      </w:r>
    </w:p>
    <w:p w:rsidR="002631D9" w:rsidRDefault="002631D9">
      <w:pPr>
        <w:pStyle w:val="ConsPlusNormal"/>
        <w:ind w:firstLine="540"/>
        <w:jc w:val="both"/>
      </w:pPr>
      <w:r>
        <w:t>стоимости чистых активов инвестиционных фондов;</w:t>
      </w:r>
    </w:p>
    <w:p w:rsidR="002631D9" w:rsidRDefault="002631D9">
      <w:pPr>
        <w:pStyle w:val="ConsPlusNormal"/>
        <w:ind w:firstLine="540"/>
        <w:jc w:val="both"/>
      </w:pPr>
      <w:r>
        <w:t>стоимости чистых активов, в которые инвестированы средства пенсионных накоплений;</w:t>
      </w:r>
    </w:p>
    <w:p w:rsidR="002631D9" w:rsidRDefault="002631D9">
      <w:pPr>
        <w:pStyle w:val="ConsPlusNormal"/>
        <w:ind w:firstLine="540"/>
        <w:jc w:val="both"/>
      </w:pPr>
      <w:r>
        <w:t>стоимости чистых активов, в которые размещены средства пенсионных резервов;</w:t>
      </w:r>
    </w:p>
    <w:p w:rsidR="002631D9" w:rsidRDefault="002631D9">
      <w:pPr>
        <w:pStyle w:val="ConsPlusNormal"/>
        <w:ind w:firstLine="540"/>
        <w:jc w:val="both"/>
      </w:pPr>
      <w:r>
        <w:t>стоимости чистых активов, в которые инвестированы накопления для жилищного обеспечения военнослужащих;</w:t>
      </w:r>
    </w:p>
    <w:p w:rsidR="002631D9" w:rsidRDefault="002631D9">
      <w:pPr>
        <w:pStyle w:val="ConsPlusNormal"/>
        <w:ind w:firstLine="540"/>
        <w:jc w:val="both"/>
      </w:pPr>
      <w:r>
        <w:t>размера ипотечного покрытия;</w:t>
      </w:r>
    </w:p>
    <w:p w:rsidR="002631D9" w:rsidRDefault="002631D9">
      <w:pPr>
        <w:pStyle w:val="ConsPlusNormal"/>
        <w:ind w:firstLine="540"/>
        <w:jc w:val="both"/>
      </w:pPr>
      <w:r>
        <w:t>стоимости имущества, находящегося в доверительном управлении по договорам доверительного управления ценными бумагами, договорам доверительного управления собственными средствами (капиталом) и страховыми резервами страховщиков.</w:t>
      </w:r>
    </w:p>
    <w:p w:rsidR="002631D9" w:rsidRDefault="002631D9">
      <w:pPr>
        <w:pStyle w:val="ConsPlusNormal"/>
        <w:ind w:firstLine="540"/>
        <w:jc w:val="both"/>
      </w:pPr>
      <w:bookmarkStart w:id="4" w:name="P55"/>
      <w:bookmarkEnd w:id="4"/>
      <w:r>
        <w:t xml:space="preserve">6. </w:t>
      </w:r>
      <w:proofErr w:type="gramStart"/>
      <w:r>
        <w:t>До 1 сентября 2017 года дебиторская задолженность аффилированных лиц управляющей компании, не являющихся дочерними обществами управляющей компании, денежные средства на расчетных счетах и депозиты в кредитных организациях, являющихся аффилированными лицами управляющей компании и не являющихся дочерними обществами управляющей компании, ценные бумаги, эмитированные аффилированными лицами управляющей компании, не являющимися дочерними обществами управляющей компании, учитываются в расчете собственных средств управляющей компании, если</w:t>
      </w:r>
      <w:proofErr w:type="gramEnd"/>
      <w:r>
        <w:t xml:space="preserve"> суммарная стоимость иных активов, включаемых в расчет собственных средств управляющей компании, за вычетом всех обязательств составляет размер не ниже минимального размера собственных средств управляющей компании.</w:t>
      </w:r>
    </w:p>
    <w:p w:rsidR="002631D9" w:rsidRDefault="002631D9">
      <w:pPr>
        <w:pStyle w:val="ConsPlusNormal"/>
        <w:ind w:firstLine="540"/>
        <w:jc w:val="both"/>
      </w:pPr>
      <w:r>
        <w:t>7. Несоответствие размера собственных средств управляющей компании минимальному размеру собственных средств управляющей компании, возникшее по причинам, не зависящим от действий управляющей компании, должно быть устранено управляющей компанией в течение одного месяца с момента возникновения такого несоответствия.</w:t>
      </w:r>
    </w:p>
    <w:p w:rsidR="002631D9" w:rsidRDefault="002631D9">
      <w:pPr>
        <w:pStyle w:val="ConsPlusNormal"/>
        <w:ind w:firstLine="540"/>
        <w:jc w:val="both"/>
      </w:pPr>
      <w:r>
        <w:t>8. Настоящее Указание подлежит официальному опубликованию &lt;1&gt; и вступает в силу с 1 сентября 2016 года.</w:t>
      </w:r>
    </w:p>
    <w:p w:rsidR="002631D9" w:rsidRDefault="002631D9">
      <w:pPr>
        <w:pStyle w:val="ConsPlusNormal"/>
        <w:ind w:firstLine="540"/>
        <w:jc w:val="both"/>
      </w:pPr>
      <w:r>
        <w:t>--------------------------------</w:t>
      </w:r>
    </w:p>
    <w:p w:rsidR="002631D9" w:rsidRDefault="002631D9">
      <w:pPr>
        <w:pStyle w:val="ConsPlusNormal"/>
        <w:ind w:firstLine="540"/>
        <w:jc w:val="both"/>
      </w:pPr>
      <w:r>
        <w:t>&lt;1&gt; Официально опубликовано на сайте Банка России 25.08.2016.</w:t>
      </w:r>
    </w:p>
    <w:p w:rsidR="002631D9" w:rsidRDefault="002631D9">
      <w:pPr>
        <w:pStyle w:val="ConsPlusNormal"/>
        <w:jc w:val="both"/>
      </w:pPr>
    </w:p>
    <w:p w:rsidR="002631D9" w:rsidRDefault="002631D9">
      <w:pPr>
        <w:pStyle w:val="ConsPlusNormal"/>
        <w:jc w:val="right"/>
      </w:pPr>
      <w:r>
        <w:t>Председатель Центрального банка</w:t>
      </w:r>
    </w:p>
    <w:p w:rsidR="002631D9" w:rsidRDefault="002631D9">
      <w:pPr>
        <w:pStyle w:val="ConsPlusNormal"/>
        <w:jc w:val="right"/>
      </w:pPr>
      <w:r>
        <w:t>Российской Федерации</w:t>
      </w:r>
    </w:p>
    <w:p w:rsidR="002631D9" w:rsidRDefault="002631D9">
      <w:pPr>
        <w:pStyle w:val="ConsPlusNormal"/>
        <w:jc w:val="right"/>
      </w:pPr>
      <w:r>
        <w:t>Э.С.НАБИУЛЛИНА</w:t>
      </w:r>
    </w:p>
    <w:p w:rsidR="002631D9" w:rsidRDefault="002631D9">
      <w:pPr>
        <w:pStyle w:val="ConsPlusNormal"/>
        <w:jc w:val="both"/>
      </w:pPr>
    </w:p>
    <w:p w:rsidR="002631D9" w:rsidRDefault="002631D9">
      <w:pPr>
        <w:pStyle w:val="ConsPlusNormal"/>
        <w:jc w:val="both"/>
      </w:pPr>
    </w:p>
    <w:p w:rsidR="002631D9" w:rsidRDefault="002631D9">
      <w:pPr>
        <w:pStyle w:val="ConsPlusNormal"/>
        <w:pBdr>
          <w:top w:val="single" w:sz="6" w:space="0" w:color="auto"/>
        </w:pBdr>
        <w:spacing w:before="100" w:after="100"/>
        <w:jc w:val="both"/>
        <w:rPr>
          <w:sz w:val="2"/>
          <w:szCs w:val="2"/>
        </w:rPr>
      </w:pPr>
    </w:p>
    <w:p w:rsidR="00B26779" w:rsidRDefault="00B26779">
      <w:bookmarkStart w:id="5" w:name="_GoBack"/>
      <w:bookmarkEnd w:id="5"/>
    </w:p>
    <w:sectPr w:rsidR="00B26779" w:rsidSect="00017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D9"/>
    <w:rsid w:val="002631D9"/>
    <w:rsid w:val="00B2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1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31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31D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1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31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31D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B28AB0D1B3CE81D4033242C2395EEFABC04CF9CD09A06DF0CC58314C78641092CF6DB9241F8129X2ZBO" TargetMode="External"/><Relationship Id="rId13" Type="http://schemas.openxmlformats.org/officeDocument/2006/relationships/hyperlink" Target="consultantplus://offline/ref=25B28AB0D1B3CE81D4033242C2395EEFABC14DFFC007A06DF0CC58314C78641092CF6DB9241E812AX2Z8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5B28AB0D1B3CE81D4033242C2395EEFABC04CF9CD09A06DF0CC58314C78641092CF6DBD25X1ZBO" TargetMode="External"/><Relationship Id="rId12" Type="http://schemas.openxmlformats.org/officeDocument/2006/relationships/hyperlink" Target="consultantplus://offline/ref=25B28AB0D1B3CE81D4033242C2395EEFABC14DFFC007A06DF0CC58314C78641092CF6DB9241E812AX2Z8O"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5B28AB0D1B3CE81D4033242C2395EEFABC04CFACC01A06DF0CC58314C78641092CF6DBD21X1ZCO" TargetMode="External"/><Relationship Id="rId1" Type="http://schemas.openxmlformats.org/officeDocument/2006/relationships/styles" Target="styles.xml"/><Relationship Id="rId6" Type="http://schemas.openxmlformats.org/officeDocument/2006/relationships/hyperlink" Target="consultantplus://offline/ref=25B28AB0D1B3CE81D4033242C2395EEFABC04FF9CD01A06DF0CC58314C78641092CF6DBB26X1ZAO" TargetMode="External"/><Relationship Id="rId11" Type="http://schemas.openxmlformats.org/officeDocument/2006/relationships/hyperlink" Target="consultantplus://offline/ref=25B28AB0D1B3CE81D4033242C2395EEFABC04CFBC900A06DF0CC58314CX7Z8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5B28AB0D1B3CE81D4033242C2395EEFABC14DFFC007A06DF0CC58314C78641092CF6DB9241E812AX2ZAO" TargetMode="External"/><Relationship Id="rId10" Type="http://schemas.openxmlformats.org/officeDocument/2006/relationships/hyperlink" Target="consultantplus://offline/ref=25B28AB0D1B3CE81D4033242C2395EEFABC04CFBC900A06DF0CC58314C78641092CF6DB9241E8128X2Z8O" TargetMode="External"/><Relationship Id="rId4" Type="http://schemas.openxmlformats.org/officeDocument/2006/relationships/webSettings" Target="webSettings.xml"/><Relationship Id="rId9" Type="http://schemas.openxmlformats.org/officeDocument/2006/relationships/hyperlink" Target="consultantplus://offline/ref=25B28AB0D1B3CE81D4033242C2395EEFABC04CF9CD09A06DF0CC58314C78641092CF6DBE24X1ZFO" TargetMode="External"/><Relationship Id="rId14" Type="http://schemas.openxmlformats.org/officeDocument/2006/relationships/hyperlink" Target="consultantplus://offline/ref=25B28AB0D1B3CE81D4033242C2395EEFABC14DFFC007A06DF0CC58314C78641092CF6DB9241E812AX2Z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2335</Words>
  <Characters>13313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Серебряницкая Ольга Евгеньевна</dc:creator>
  <cp:lastModifiedBy>Серебряницкая Ольга Евгеньевна</cp:lastModifiedBy>
  <cp:revision>1</cp:revision>
  <dcterms:created xsi:type="dcterms:W3CDTF">2017-03-06T14:25:00Z</dcterms:created>
  <dcterms:modified xsi:type="dcterms:W3CDTF">2017-03-06T14:25:00Z</dcterms:modified>
</cp:coreProperties>
</file>