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AB" w:rsidRDefault="00261DAB">
      <w:pPr>
        <w:pStyle w:val="ConsPlusTitlePage"/>
      </w:pPr>
      <w:r>
        <w:t xml:space="preserve">Документ предоставлен </w:t>
      </w:r>
      <w:hyperlink r:id="rId5" w:history="1">
        <w:r>
          <w:rPr>
            <w:color w:val="0000FF"/>
          </w:rPr>
          <w:t>КонсультантПлюс</w:t>
        </w:r>
      </w:hyperlink>
      <w:r>
        <w:br/>
      </w:r>
    </w:p>
    <w:p w:rsidR="00261DAB" w:rsidRDefault="00261DAB">
      <w:pPr>
        <w:pStyle w:val="ConsPlusNormal"/>
        <w:jc w:val="both"/>
        <w:outlineLvl w:val="0"/>
      </w:pPr>
    </w:p>
    <w:p w:rsidR="00261DAB" w:rsidRDefault="00261DAB">
      <w:pPr>
        <w:pStyle w:val="ConsPlusNormal"/>
        <w:outlineLvl w:val="0"/>
      </w:pPr>
      <w:r>
        <w:t>Зарегистрировано в Минюсте России 15 ноября 2016 г. N 44339</w:t>
      </w:r>
    </w:p>
    <w:p w:rsidR="00261DAB" w:rsidRDefault="00261DAB">
      <w:pPr>
        <w:pStyle w:val="ConsPlusNormal"/>
        <w:pBdr>
          <w:top w:val="single" w:sz="6" w:space="0" w:color="auto"/>
        </w:pBdr>
        <w:spacing w:before="100" w:after="100"/>
        <w:jc w:val="both"/>
        <w:rPr>
          <w:sz w:val="2"/>
          <w:szCs w:val="2"/>
        </w:rPr>
      </w:pPr>
    </w:p>
    <w:p w:rsidR="00261DAB" w:rsidRDefault="00261DAB">
      <w:pPr>
        <w:pStyle w:val="ConsPlusNormal"/>
        <w:jc w:val="center"/>
      </w:pPr>
    </w:p>
    <w:p w:rsidR="00261DAB" w:rsidRDefault="00261DAB">
      <w:pPr>
        <w:pStyle w:val="ConsPlusTitle"/>
        <w:jc w:val="center"/>
      </w:pPr>
      <w:r>
        <w:t>ЦЕНТРАЛЬНЫЙ БАНК РОССИЙСКОЙ ФЕДЕРАЦИИ</w:t>
      </w:r>
    </w:p>
    <w:p w:rsidR="00261DAB" w:rsidRDefault="00261DAB">
      <w:pPr>
        <w:pStyle w:val="ConsPlusTitle"/>
        <w:jc w:val="center"/>
      </w:pPr>
    </w:p>
    <w:p w:rsidR="00261DAB" w:rsidRDefault="00261DAB">
      <w:pPr>
        <w:pStyle w:val="ConsPlusTitle"/>
        <w:jc w:val="center"/>
      </w:pPr>
      <w:r>
        <w:t>УКАЗАНИЕ</w:t>
      </w:r>
    </w:p>
    <w:p w:rsidR="00261DAB" w:rsidRDefault="00261DAB">
      <w:pPr>
        <w:pStyle w:val="ConsPlusTitle"/>
        <w:jc w:val="center"/>
      </w:pPr>
      <w:r>
        <w:t>от 5 сентября 2016 г. N 4129-У</w:t>
      </w:r>
    </w:p>
    <w:p w:rsidR="00261DAB" w:rsidRDefault="00261DAB">
      <w:pPr>
        <w:pStyle w:val="ConsPlusTitle"/>
        <w:jc w:val="center"/>
      </w:pPr>
    </w:p>
    <w:p w:rsidR="00261DAB" w:rsidRDefault="00261DAB">
      <w:pPr>
        <w:pStyle w:val="ConsPlusTitle"/>
        <w:jc w:val="center"/>
      </w:pPr>
      <w:r>
        <w:t>О СОСТАВЕ И СТРУКТУРЕ</w:t>
      </w:r>
    </w:p>
    <w:p w:rsidR="00261DAB" w:rsidRDefault="00261DAB">
      <w:pPr>
        <w:pStyle w:val="ConsPlusTitle"/>
        <w:jc w:val="center"/>
      </w:pPr>
      <w:r>
        <w:t>АКТИВОВ АКЦИОНЕРНЫХ ИНВЕСТИЦИОННЫХ ФОНДОВ И АКТИВОВ ПАЕВЫХ</w:t>
      </w:r>
    </w:p>
    <w:p w:rsidR="00261DAB" w:rsidRDefault="00261DAB">
      <w:pPr>
        <w:pStyle w:val="ConsPlusTitle"/>
        <w:jc w:val="center"/>
      </w:pPr>
      <w:r>
        <w:t>ИНВЕСТИЦИОННЫХ ФОНДОВ</w:t>
      </w:r>
    </w:p>
    <w:p w:rsidR="00261DAB" w:rsidRDefault="00261DAB">
      <w:pPr>
        <w:pStyle w:val="ConsPlusNormal"/>
        <w:jc w:val="both"/>
      </w:pPr>
    </w:p>
    <w:p w:rsidR="00261DAB" w:rsidRDefault="00261DAB">
      <w:pPr>
        <w:pStyle w:val="ConsPlusNormal"/>
        <w:ind w:firstLine="540"/>
        <w:jc w:val="both"/>
      </w:pPr>
      <w:r>
        <w:t xml:space="preserve">Настоящее Указание на основании Федерального </w:t>
      </w:r>
      <w:hyperlink r:id="rId6" w:history="1">
        <w:r>
          <w:rPr>
            <w:color w:val="0000FF"/>
          </w:rPr>
          <w:t>закона</w:t>
        </w:r>
      </w:hyperlink>
      <w:r>
        <w:t xml:space="preserve"> от 29 ноября 2001 года N 156-ФЗ "Об инвестиционных фондах" (Собрание законодательства Российской Федерации, 2001, N 49, ст. 4562; 2004, N 27, ст. 2711; 2006, N 17, ст. 1780; 2007, N 50, ст. 6247; 2008, N 30, ст. 3616; 2009, N 48, ст. 5731; 2010, N 17, ст. 1988; N 31, ст. 4193; 2011, N 48, ст. 6728; N 49, ст. 7040, ст. 7061; 2012, N 31, ст. 4334; 2013, N 26, ст. 3207; N 27, ст. 3477; N 30, ст. 4084; N 51, ст. 6695, ст. 6699; 2014, N 11, ст. 1098; 2015, N 27, ст. 4001; N 29, ст. 4357; 2016, N 1, ст. 47; N 23, ст. 3301; N 27, ст. 4225) (далее - Федеральный закон от 29 ноября 2001 года N 156-ФЗ) устанавливает требования к составу и структуре активов акционерных инвестиционных фондов и активов паевых инвестиционных фондов.</w:t>
      </w:r>
    </w:p>
    <w:p w:rsidR="00261DAB" w:rsidRDefault="00261DAB">
      <w:pPr>
        <w:pStyle w:val="ConsPlusNormal"/>
        <w:ind w:firstLine="540"/>
        <w:jc w:val="both"/>
      </w:pPr>
    </w:p>
    <w:p w:rsidR="00261DAB" w:rsidRDefault="00261DAB">
      <w:pPr>
        <w:pStyle w:val="ConsPlusNormal"/>
        <w:ind w:firstLine="540"/>
        <w:jc w:val="both"/>
        <w:outlineLvl w:val="1"/>
      </w:pPr>
      <w:r>
        <w:t>Глава 1. Общие положения</w:t>
      </w:r>
    </w:p>
    <w:p w:rsidR="00261DAB" w:rsidRDefault="00261DAB">
      <w:pPr>
        <w:pStyle w:val="ConsPlusNormal"/>
        <w:ind w:firstLine="540"/>
        <w:jc w:val="both"/>
      </w:pPr>
    </w:p>
    <w:p w:rsidR="00261DAB" w:rsidRDefault="00261DAB">
      <w:pPr>
        <w:pStyle w:val="ConsPlusNormal"/>
        <w:ind w:firstLine="540"/>
        <w:jc w:val="both"/>
      </w:pPr>
      <w:r>
        <w:t xml:space="preserve">1.1. Паевые инвестиционные фонды, правилами доверительного управления которых предусмотрено, что их инвестиционные паи предназначены только для </w:t>
      </w:r>
      <w:hyperlink r:id="rId7" w:history="1">
        <w:r>
          <w:rPr>
            <w:color w:val="0000FF"/>
          </w:rPr>
          <w:t>квалифицированных инвесторов</w:t>
        </w:r>
      </w:hyperlink>
      <w:r>
        <w:t xml:space="preserve"> (далее - фонд для квалифицированных инвесторов), относятся к одной из следующих категорий:</w:t>
      </w:r>
    </w:p>
    <w:p w:rsidR="00261DAB" w:rsidRDefault="00261DAB">
      <w:pPr>
        <w:pStyle w:val="ConsPlusNormal"/>
        <w:ind w:firstLine="540"/>
        <w:jc w:val="both"/>
      </w:pPr>
      <w:r>
        <w:t>фонд финансовых инструментов;</w:t>
      </w:r>
    </w:p>
    <w:p w:rsidR="00261DAB" w:rsidRDefault="00261DAB">
      <w:pPr>
        <w:pStyle w:val="ConsPlusNormal"/>
        <w:ind w:firstLine="540"/>
        <w:jc w:val="both"/>
      </w:pPr>
      <w:r>
        <w:t>фонд недвижимости;</w:t>
      </w:r>
    </w:p>
    <w:p w:rsidR="00261DAB" w:rsidRDefault="00261DAB">
      <w:pPr>
        <w:pStyle w:val="ConsPlusNormal"/>
        <w:ind w:firstLine="540"/>
        <w:jc w:val="both"/>
      </w:pPr>
      <w:r>
        <w:t>комбинированный фонд.</w:t>
      </w:r>
    </w:p>
    <w:p w:rsidR="00261DAB" w:rsidRDefault="00261DAB">
      <w:pPr>
        <w:pStyle w:val="ConsPlusNormal"/>
        <w:ind w:firstLine="540"/>
        <w:jc w:val="both"/>
      </w:pPr>
      <w:r>
        <w:t>1.2. Паевые инвестиционные фонды, правилами доверительного управления которых не предусмотрено, что их инвестиционные паи предназначены только для квалифицированных инвесторов (далее - фонд для неквалифицированных инвесторов), относятся к одной из следующих категорий:</w:t>
      </w:r>
    </w:p>
    <w:p w:rsidR="00261DAB" w:rsidRDefault="00261DAB">
      <w:pPr>
        <w:pStyle w:val="ConsPlusNormal"/>
        <w:ind w:firstLine="540"/>
        <w:jc w:val="both"/>
      </w:pPr>
      <w:r>
        <w:t>фонд рыночных финансовых инструментов;</w:t>
      </w:r>
    </w:p>
    <w:p w:rsidR="00261DAB" w:rsidRDefault="00261DAB">
      <w:pPr>
        <w:pStyle w:val="ConsPlusNormal"/>
        <w:ind w:firstLine="540"/>
        <w:jc w:val="both"/>
      </w:pPr>
      <w:r>
        <w:t>фонд недвижимости.</w:t>
      </w:r>
    </w:p>
    <w:p w:rsidR="00261DAB" w:rsidRDefault="00261DAB">
      <w:pPr>
        <w:pStyle w:val="ConsPlusNormal"/>
        <w:ind w:firstLine="540"/>
        <w:jc w:val="both"/>
      </w:pPr>
      <w:r>
        <w:t xml:space="preserve">1.3. Паевые инвестиционные фонды, относящиеся к категории фондов недвижимости, могут быть только закрытыми паевыми инвестиционными фондами с учетом требования, установленного </w:t>
      </w:r>
      <w:hyperlink r:id="rId8" w:history="1">
        <w:r>
          <w:rPr>
            <w:color w:val="0000FF"/>
          </w:rPr>
          <w:t>абзацем вторым пункта 2 статьи 33</w:t>
        </w:r>
      </w:hyperlink>
      <w:r>
        <w:t xml:space="preserve"> Федерального закона от 29 ноября 2001 года N 156-ФЗ.</w:t>
      </w:r>
    </w:p>
    <w:p w:rsidR="00261DAB" w:rsidRDefault="00261DAB">
      <w:pPr>
        <w:pStyle w:val="ConsPlusNormal"/>
        <w:ind w:firstLine="540"/>
        <w:jc w:val="both"/>
      </w:pPr>
      <w:r>
        <w:t>1.4. Состав и структура активов акционерного инвестиционного фонда, уставом которого не предусмотрено, что его акции предназначены для квалифицированных инвесторов, и наименование которого содержит указание на недвижимое имущество и (или) права на недвижимое имущество или на их виды, должны соответствовать требованиям для фонда, относящегося к категории фонда недвижимости для неквалифицированных инвесторов.</w:t>
      </w:r>
    </w:p>
    <w:p w:rsidR="00261DAB" w:rsidRDefault="00261DAB">
      <w:pPr>
        <w:pStyle w:val="ConsPlusNormal"/>
        <w:ind w:firstLine="540"/>
        <w:jc w:val="both"/>
      </w:pPr>
      <w:r>
        <w:t>Состав и структура активов акционерного инвестиционного фонда, уставом которого не предусмотрено, что его акции предназначены для квалифицированных инвесторов, и наименование которого не содержит указание на недвижимое имущество и (или) права на недвижимое имущество или на их виды, должны соответствовать требованиям для фонда, относящегося к категории фонда рыночных финансовых инструментов.</w:t>
      </w:r>
    </w:p>
    <w:p w:rsidR="00261DAB" w:rsidRDefault="00261DAB">
      <w:pPr>
        <w:pStyle w:val="ConsPlusNormal"/>
        <w:ind w:firstLine="540"/>
        <w:jc w:val="both"/>
      </w:pPr>
      <w:r>
        <w:lastRenderedPageBreak/>
        <w:t xml:space="preserve">В случае если уставом акционерного инвестиционного фонда предусмотрено, что его акции предназначены для квалифицированных инвесторов, то состав и структура активов указанного фонда должны соответствовать требованию </w:t>
      </w:r>
      <w:hyperlink w:anchor="P84" w:history="1">
        <w:r>
          <w:rPr>
            <w:color w:val="0000FF"/>
          </w:rPr>
          <w:t>пункта 2.8</w:t>
        </w:r>
      </w:hyperlink>
      <w:r>
        <w:t xml:space="preserve"> настоящего Указания.</w:t>
      </w:r>
    </w:p>
    <w:p w:rsidR="00261DAB" w:rsidRDefault="00261DAB">
      <w:pPr>
        <w:pStyle w:val="ConsPlusNormal"/>
        <w:ind w:firstLine="540"/>
        <w:jc w:val="both"/>
      </w:pPr>
      <w:r>
        <w:t xml:space="preserve">1.5. Требования к составу активов инвестиционных фондов устанавливаются с учетом ограничений, предусмотренных Федеральным </w:t>
      </w:r>
      <w:hyperlink r:id="rId9" w:history="1">
        <w:r>
          <w:rPr>
            <w:color w:val="0000FF"/>
          </w:rPr>
          <w:t>законом</w:t>
        </w:r>
      </w:hyperlink>
      <w:r>
        <w:t xml:space="preserve"> от 29 ноября 2001 года N 156-ФЗ для отдельных типов паевых инвестиционных фондов.</w:t>
      </w:r>
    </w:p>
    <w:p w:rsidR="00261DAB" w:rsidRDefault="00261DAB">
      <w:pPr>
        <w:pStyle w:val="ConsPlusNormal"/>
        <w:ind w:firstLine="540"/>
        <w:jc w:val="both"/>
      </w:pPr>
      <w:r>
        <w:t xml:space="preserve">1.6. В случае если инвестиционная декларация акционерного инвестиционного фонда содержит указание на активы, которые не предусмотрены </w:t>
      </w:r>
      <w:hyperlink w:anchor="P33" w:history="1">
        <w:r>
          <w:rPr>
            <w:color w:val="0000FF"/>
          </w:rPr>
          <w:t>пунктами 2.1</w:t>
        </w:r>
      </w:hyperlink>
      <w:r>
        <w:t xml:space="preserve"> и </w:t>
      </w:r>
      <w:hyperlink w:anchor="P50" w:history="1">
        <w:r>
          <w:rPr>
            <w:color w:val="0000FF"/>
          </w:rPr>
          <w:t>2.4</w:t>
        </w:r>
      </w:hyperlink>
      <w:r>
        <w:t xml:space="preserve"> настоящего Указания, то в соответствии с </w:t>
      </w:r>
      <w:hyperlink r:id="rId10" w:history="1">
        <w:r>
          <w:rPr>
            <w:color w:val="0000FF"/>
          </w:rPr>
          <w:t>пунктом 1 статьи 4.1</w:t>
        </w:r>
      </w:hyperlink>
      <w:r>
        <w:t xml:space="preserve"> Федерального закона от 29 ноября 2001 года N 156-ФЗ устав такого акционерного инвестиционного фонда должен предусматривать, что его акции предназначены для квалифицированных инвесторов.</w:t>
      </w:r>
    </w:p>
    <w:p w:rsidR="00261DAB" w:rsidRDefault="00261DAB">
      <w:pPr>
        <w:pStyle w:val="ConsPlusNormal"/>
        <w:ind w:firstLine="540"/>
        <w:jc w:val="both"/>
      </w:pPr>
    </w:p>
    <w:p w:rsidR="00261DAB" w:rsidRDefault="00261DAB">
      <w:pPr>
        <w:pStyle w:val="ConsPlusNormal"/>
        <w:ind w:firstLine="540"/>
        <w:jc w:val="both"/>
        <w:outlineLvl w:val="1"/>
      </w:pPr>
      <w:r>
        <w:t>Глава 2. Требования к составу и структуре активов инвестиционных фондов</w:t>
      </w:r>
    </w:p>
    <w:p w:rsidR="00261DAB" w:rsidRDefault="00261DAB">
      <w:pPr>
        <w:pStyle w:val="ConsPlusNormal"/>
        <w:ind w:firstLine="540"/>
        <w:jc w:val="both"/>
      </w:pPr>
    </w:p>
    <w:p w:rsidR="00261DAB" w:rsidRDefault="00261DAB">
      <w:pPr>
        <w:pStyle w:val="ConsPlusNormal"/>
        <w:ind w:firstLine="540"/>
        <w:jc w:val="both"/>
      </w:pPr>
      <w:bookmarkStart w:id="0" w:name="P33"/>
      <w:bookmarkEnd w:id="0"/>
      <w:r>
        <w:t>2.1. В состав активов фондов, относящихся к категории фондов рыночных финансовых инструментов, могут входить только:</w:t>
      </w:r>
    </w:p>
    <w:p w:rsidR="00261DAB" w:rsidRDefault="00261DAB">
      <w:pPr>
        <w:pStyle w:val="ConsPlusNormal"/>
        <w:ind w:firstLine="540"/>
        <w:jc w:val="both"/>
      </w:pPr>
      <w:bookmarkStart w:id="1" w:name="P34"/>
      <w:bookmarkEnd w:id="1"/>
      <w: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w:t>
      </w:r>
      <w:hyperlink r:id="rId11" w:history="1">
        <w:r>
          <w:rPr>
            <w:color w:val="0000FF"/>
          </w:rPr>
          <w:t>перечень</w:t>
        </w:r>
      </w:hyperlink>
      <w:r>
        <w:t xml:space="preserve">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 (далее - перечень иностранных бирж), за исключением инвестиционных паев фондов для квалифицированных инвесторов;</w:t>
      </w:r>
    </w:p>
    <w:p w:rsidR="00261DAB" w:rsidRDefault="00261DAB">
      <w:pPr>
        <w:pStyle w:val="ConsPlusNormal"/>
        <w:ind w:firstLine="540"/>
        <w:jc w:val="both"/>
      </w:pPr>
      <w:bookmarkStart w:id="2" w:name="P35"/>
      <w:bookmarkEnd w:id="2"/>
      <w:r>
        <w:t>инвестиционные паи открытых паевых инвестиционных фондов;</w:t>
      </w:r>
    </w:p>
    <w:p w:rsidR="00261DAB" w:rsidRDefault="00261DAB">
      <w:pPr>
        <w:pStyle w:val="ConsPlusNormal"/>
        <w:ind w:firstLine="540"/>
        <w:jc w:val="both"/>
      </w:pPr>
      <w:bookmarkStart w:id="3" w:name="P36"/>
      <w:bookmarkEnd w:id="3"/>
      <w:r>
        <w:t>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 (далее - инструменты денежного рынка);</w:t>
      </w:r>
    </w:p>
    <w:p w:rsidR="00261DAB" w:rsidRDefault="00261DAB">
      <w:pPr>
        <w:pStyle w:val="ConsPlusNormal"/>
        <w:ind w:firstLine="540"/>
        <w:jc w:val="both"/>
      </w:pPr>
      <w:r>
        <w:t>права требования из договоров, заключенных для целей доверительного управления в отношении указанных активов;</w:t>
      </w:r>
    </w:p>
    <w:p w:rsidR="00261DAB" w:rsidRDefault="00261DAB">
      <w:pPr>
        <w:pStyle w:val="ConsPlusNormal"/>
        <w:ind w:firstLine="540"/>
        <w:jc w:val="both"/>
      </w:pPr>
      <w:r>
        <w:t>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инвестиционный фонд.</w:t>
      </w:r>
    </w:p>
    <w:p w:rsidR="00261DAB" w:rsidRDefault="00261DAB">
      <w:pPr>
        <w:pStyle w:val="ConsPlusNormal"/>
        <w:ind w:firstLine="540"/>
        <w:jc w:val="both"/>
      </w:pPr>
      <w:r>
        <w:t xml:space="preserve">2.2. Активом, предусмотренным </w:t>
      </w:r>
      <w:hyperlink w:anchor="P34" w:history="1">
        <w:r>
          <w:rPr>
            <w:color w:val="0000FF"/>
          </w:rPr>
          <w:t>абзацем вторым пункта 2.1</w:t>
        </w:r>
      </w:hyperlink>
      <w:r>
        <w:t xml:space="preserve"> настоящего Указания, может являться производный финансовый инструмент при условии, что изменение его стоимости зависит от изменения стоимости активов, которые могут входить в состав инвестиционного фонда (в том числе изменения значения индекса, рассчитываемого исходя из стоимости активов, которые могут входить в состав данного инвестиционного фонда), от величины процентных ставок, уровня инфляции, курсов валют.</w:t>
      </w:r>
    </w:p>
    <w:p w:rsidR="00261DAB" w:rsidRDefault="00261DAB">
      <w:pPr>
        <w:pStyle w:val="ConsPlusNormal"/>
        <w:ind w:firstLine="540"/>
        <w:jc w:val="both"/>
      </w:pPr>
      <w:r>
        <w:t xml:space="preserve">К ценным бумагам, предусмотренным </w:t>
      </w:r>
      <w:hyperlink w:anchor="P35" w:history="1">
        <w:r>
          <w:rPr>
            <w:color w:val="0000FF"/>
          </w:rPr>
          <w:t>абзацами третьим</w:t>
        </w:r>
      </w:hyperlink>
      <w:r>
        <w:t xml:space="preserve"> и </w:t>
      </w:r>
      <w:hyperlink w:anchor="P36" w:history="1">
        <w:r>
          <w:rPr>
            <w:color w:val="0000FF"/>
          </w:rPr>
          <w:t>четвертым пункта 2.1</w:t>
        </w:r>
      </w:hyperlink>
      <w:r>
        <w:t xml:space="preserve"> настоящего Указания, относятся ценные бумаги, не подпадающие под требования </w:t>
      </w:r>
      <w:hyperlink w:anchor="P34" w:history="1">
        <w:r>
          <w:rPr>
            <w:color w:val="0000FF"/>
          </w:rPr>
          <w:t>абзаца второго пункта 2.1</w:t>
        </w:r>
      </w:hyperlink>
      <w:r>
        <w:t xml:space="preserve"> настоящего Указания.</w:t>
      </w:r>
    </w:p>
    <w:p w:rsidR="00261DAB" w:rsidRDefault="00261DAB">
      <w:pPr>
        <w:pStyle w:val="ConsPlusNormal"/>
        <w:ind w:firstLine="540"/>
        <w:jc w:val="both"/>
      </w:pPr>
      <w:bookmarkStart w:id="4" w:name="P41"/>
      <w:bookmarkEnd w:id="4"/>
      <w:r>
        <w:t xml:space="preserve">Денежные средства во вкладах (депозитах) в российских кредитных организациях и </w:t>
      </w:r>
      <w:r>
        <w:lastRenderedPageBreak/>
        <w:t>иностранных банках могут входить в состав активов открытых и интервальных паевых инвестиционных фондов, относящихся к категории фондов рыночных финансовых инструментов,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261DAB" w:rsidRDefault="00261DAB">
      <w:pPr>
        <w:pStyle w:val="ConsPlusNormal"/>
        <w:ind w:firstLine="540"/>
        <w:jc w:val="both"/>
      </w:pPr>
      <w:r>
        <w:t>2.3. В состав активов фондов, относящихся к категории фондов финансовых инструментов, могут входить только следующие активы:</w:t>
      </w:r>
    </w:p>
    <w:p w:rsidR="00261DAB" w:rsidRDefault="00261DAB">
      <w:pPr>
        <w:pStyle w:val="ConsPlusNormal"/>
        <w:ind w:firstLine="540"/>
        <w:jc w:val="both"/>
      </w:pPr>
      <w:bookmarkStart w:id="5" w:name="P43"/>
      <w:bookmarkEnd w:id="5"/>
      <w: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и включенных в </w:t>
      </w:r>
      <w:hyperlink r:id="rId12" w:history="1">
        <w:r>
          <w:rPr>
            <w:color w:val="0000FF"/>
          </w:rPr>
          <w:t>перечень</w:t>
        </w:r>
      </w:hyperlink>
      <w:r>
        <w:t xml:space="preserve"> иностранных бирж;</w:t>
      </w:r>
    </w:p>
    <w:p w:rsidR="00261DAB" w:rsidRDefault="00261DAB">
      <w:pPr>
        <w:pStyle w:val="ConsPlusNormal"/>
        <w:ind w:firstLine="540"/>
        <w:jc w:val="both"/>
      </w:pPr>
      <w:bookmarkStart w:id="6" w:name="P44"/>
      <w:bookmarkEnd w:id="6"/>
      <w:r>
        <w:t>ценные бумаги, являющиеся ценными бумагами в соответствии с законодательством Российской Федерации или в соответствии с личным законом лица, обязанного по ценным бумагам;</w:t>
      </w:r>
    </w:p>
    <w:p w:rsidR="00261DAB" w:rsidRDefault="00261DAB">
      <w:pPr>
        <w:pStyle w:val="ConsPlusNormal"/>
        <w:ind w:firstLine="540"/>
        <w:jc w:val="both"/>
      </w:pPr>
      <w:r>
        <w:t>производные финансовые инструменты при условии, что изменение их стоимости зависит от изменения стоимости активов, которые могут входить в состав инвестиционного фонда (в том числе изменения значения индекса, рассчитываемого исходя из стоимости активов, которые могут входить в состав данного инвестиционного фонда), от величины процентных ставок, уровня инфляции, курсов валют;</w:t>
      </w:r>
    </w:p>
    <w:p w:rsidR="00261DAB" w:rsidRDefault="00261DAB">
      <w:pPr>
        <w:pStyle w:val="ConsPlusNormal"/>
        <w:ind w:firstLine="540"/>
        <w:jc w:val="both"/>
      </w:pPr>
      <w:bookmarkStart w:id="7" w:name="P46"/>
      <w:bookmarkEnd w:id="7"/>
      <w:r>
        <w:t>денежные средства в рублях и в иностранной валюте на счетах и во вкладах (депозитах) в российских кредитных организациях и иностранных банках любых иностранных государств, депозитные сертификаты иностранных банков любых иностранных государств, требования к кредитной организации выплатить денежный эквивалент драгоценных металлов по текущему курсу;</w:t>
      </w:r>
    </w:p>
    <w:p w:rsidR="00261DAB" w:rsidRDefault="00261DAB">
      <w:pPr>
        <w:pStyle w:val="ConsPlusNormal"/>
        <w:ind w:firstLine="540"/>
        <w:jc w:val="both"/>
      </w:pPr>
      <w:r>
        <w:t>права требования из договоров, заключенных для целей доверительного управления в отношении указанных активов;</w:t>
      </w:r>
    </w:p>
    <w:p w:rsidR="00261DAB" w:rsidRDefault="00261DAB">
      <w:pPr>
        <w:pStyle w:val="ConsPlusNormal"/>
        <w:ind w:firstLine="540"/>
        <w:jc w:val="both"/>
      </w:pPr>
      <w:r>
        <w:t>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инвестиционный фонд.</w:t>
      </w:r>
    </w:p>
    <w:p w:rsidR="00261DAB" w:rsidRDefault="00261DAB">
      <w:pPr>
        <w:pStyle w:val="ConsPlusNormal"/>
        <w:ind w:firstLine="540"/>
        <w:jc w:val="both"/>
      </w:pPr>
      <w:r>
        <w:t xml:space="preserve">К активам, предусмотренным </w:t>
      </w:r>
      <w:hyperlink w:anchor="P44" w:history="1">
        <w:r>
          <w:rPr>
            <w:color w:val="0000FF"/>
          </w:rPr>
          <w:t>абзацами третьим</w:t>
        </w:r>
      </w:hyperlink>
      <w:r>
        <w:t xml:space="preserve"> - </w:t>
      </w:r>
      <w:hyperlink w:anchor="P46" w:history="1">
        <w:r>
          <w:rPr>
            <w:color w:val="0000FF"/>
          </w:rPr>
          <w:t>пятым</w:t>
        </w:r>
      </w:hyperlink>
      <w:r>
        <w:t xml:space="preserve"> настоящего пункта, относятся активы, не подпадающие под требования </w:t>
      </w:r>
      <w:hyperlink w:anchor="P43" w:history="1">
        <w:r>
          <w:rPr>
            <w:color w:val="0000FF"/>
          </w:rPr>
          <w:t>абзаца второго</w:t>
        </w:r>
      </w:hyperlink>
      <w:r>
        <w:t xml:space="preserve"> настоящего пункта.</w:t>
      </w:r>
    </w:p>
    <w:p w:rsidR="00261DAB" w:rsidRDefault="00261DAB">
      <w:pPr>
        <w:pStyle w:val="ConsPlusNormal"/>
        <w:ind w:firstLine="540"/>
        <w:jc w:val="both"/>
      </w:pPr>
      <w:bookmarkStart w:id="8" w:name="P50"/>
      <w:bookmarkEnd w:id="8"/>
      <w:r>
        <w:t>2.4. В состав активов фондов для неквалифицированных инвесторов, относящихся к категории фондов недвижимости, могут входить только следующие активы.</w:t>
      </w:r>
    </w:p>
    <w:p w:rsidR="00261DAB" w:rsidRDefault="00261DAB">
      <w:pPr>
        <w:pStyle w:val="ConsPlusNormal"/>
        <w:ind w:firstLine="540"/>
        <w:jc w:val="both"/>
      </w:pPr>
      <w:r>
        <w:t>2.4.1. Следующее недвижимое имущество и имущественные права:</w:t>
      </w:r>
    </w:p>
    <w:p w:rsidR="00261DAB" w:rsidRDefault="00261DAB">
      <w:pPr>
        <w:pStyle w:val="ConsPlusNormal"/>
        <w:ind w:firstLine="540"/>
        <w:jc w:val="both"/>
      </w:pPr>
      <w:r>
        <w:t>жилые помещения, в том числе находящиеся в общей собственности с определением доли управляющей компании инвестиционного фонда в праве собственности (в том числе в многоквартирном доме);</w:t>
      </w:r>
    </w:p>
    <w:p w:rsidR="00261DAB" w:rsidRDefault="00261DAB">
      <w:pPr>
        <w:pStyle w:val="ConsPlusNormal"/>
        <w:ind w:firstLine="540"/>
        <w:jc w:val="both"/>
      </w:pPr>
      <w:r>
        <w:t>нежилые помещения в многоквартирном доме, в том числе находящиеся в общей собственности с определением доли управляющей компании инвестиционного фонда в праве собственности;</w:t>
      </w:r>
    </w:p>
    <w:p w:rsidR="00261DAB" w:rsidRDefault="00261DAB">
      <w:pPr>
        <w:pStyle w:val="ConsPlusNormal"/>
        <w:ind w:firstLine="540"/>
        <w:jc w:val="both"/>
      </w:pPr>
      <w:bookmarkStart w:id="9" w:name="P54"/>
      <w:bookmarkEnd w:id="9"/>
      <w:r>
        <w:t>нежилые здания, введенные в эксплуатацию в установленном порядке и соответствующие требованиям настоящего Указания, в том числе находящиеся в общей собственности с определением доли управляющей компании инвестиционного фонда в праве собственности;</w:t>
      </w:r>
    </w:p>
    <w:p w:rsidR="00261DAB" w:rsidRDefault="00261DAB">
      <w:pPr>
        <w:pStyle w:val="ConsPlusNormal"/>
        <w:ind w:firstLine="540"/>
        <w:jc w:val="both"/>
      </w:pPr>
      <w:r>
        <w:t>помещения в нежилых зданиях, в том числе находящиеся в общей собственности с определением доли управляющей компании инвестиционного фонда в праве собственности;</w:t>
      </w:r>
    </w:p>
    <w:p w:rsidR="00261DAB" w:rsidRDefault="00261DAB">
      <w:pPr>
        <w:pStyle w:val="ConsPlusNormal"/>
        <w:ind w:firstLine="540"/>
        <w:jc w:val="both"/>
      </w:pPr>
      <w:bookmarkStart w:id="10" w:name="P56"/>
      <w:bookmarkEnd w:id="10"/>
      <w:r>
        <w:t>единые недвижимые комплексы, в случае если в их состав входит только недвижимое имущество, разрешенное для включения в состав активов фондов для неквалифицированных инвесторов, относящихся к категории фондов недвижимости, в соответствии с настоящим пунктом;</w:t>
      </w:r>
    </w:p>
    <w:p w:rsidR="00261DAB" w:rsidRDefault="00261DAB">
      <w:pPr>
        <w:pStyle w:val="ConsPlusNormal"/>
        <w:ind w:firstLine="540"/>
        <w:jc w:val="both"/>
      </w:pPr>
      <w:r>
        <w:t>сооружения инженерной инфраструктуры, предназначенные исключительно для обслуживания и (или) эксплуатации недвижимого имущества, составляющего фонд или приобретаемого в состав активов фонда на основании заключенного договора;</w:t>
      </w:r>
    </w:p>
    <w:p w:rsidR="00261DAB" w:rsidRDefault="00261DAB">
      <w:pPr>
        <w:pStyle w:val="ConsPlusNormal"/>
        <w:ind w:firstLine="540"/>
        <w:jc w:val="both"/>
      </w:pPr>
      <w:r>
        <w:t>земельные участки, на которых расположено недвижимое имущество, составляющее фонд, в том числе находящиеся в общей собственности с определением доли управляющей компании инвестиционного фонда в праве собственности;</w:t>
      </w:r>
    </w:p>
    <w:p w:rsidR="00261DAB" w:rsidRDefault="00261DAB">
      <w:pPr>
        <w:pStyle w:val="ConsPlusNormal"/>
        <w:ind w:firstLine="540"/>
        <w:jc w:val="both"/>
      </w:pPr>
      <w:r>
        <w:lastRenderedPageBreak/>
        <w:t>права аренды земельного участка, на котором расположено недвижимое имущество, составляющее фонд;</w:t>
      </w:r>
    </w:p>
    <w:p w:rsidR="00261DAB" w:rsidRDefault="00261DAB">
      <w:pPr>
        <w:pStyle w:val="ConsPlusNormal"/>
        <w:ind w:firstLine="540"/>
        <w:jc w:val="both"/>
      </w:pPr>
      <w:r>
        <w:t xml:space="preserve">имущественные права из договоров участия в долевом строительстве жилых и многоквартирных домов, заключенных в соответствии с Федеральным </w:t>
      </w:r>
      <w:hyperlink r:id="rId1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ст. 7040; 2012, N 29, ст. 3998; N 53, ст. 7619, ст. 7643; 2013, N 30, ст. 4074, ст. 4082; N 52, ст. 6979; 2014, N 26, ст. 3377; N 30, ст. 4225; 2015, N 29, ст. 4362; 2016, N 18, ст. 2515; N 27, ст. 4237) (далее - Федеральный закон от 30 декабря 2004 года N 214-ФЗ) (далее при совместном упоминании - инвестиции в недвижимое имущество).</w:t>
      </w:r>
    </w:p>
    <w:p w:rsidR="00261DAB" w:rsidRDefault="00261DAB">
      <w:pPr>
        <w:pStyle w:val="ConsPlusNormal"/>
        <w:ind w:firstLine="540"/>
        <w:jc w:val="both"/>
      </w:pPr>
      <w:r>
        <w:t>2.4.2. Инструменты денежного рынка.</w:t>
      </w:r>
    </w:p>
    <w:p w:rsidR="00261DAB" w:rsidRDefault="00261DAB">
      <w:pPr>
        <w:pStyle w:val="ConsPlusNormal"/>
        <w:ind w:firstLine="540"/>
        <w:jc w:val="both"/>
      </w:pPr>
      <w:r>
        <w:t xml:space="preserve">2.4.3. Производные финансовые инструменты (допущенные к организованным торгам на биржах Российской Федерации и биржах, расположенных в иностранных государствах и включенных в </w:t>
      </w:r>
      <w:hyperlink r:id="rId14" w:history="1">
        <w:r>
          <w:rPr>
            <w:color w:val="0000FF"/>
          </w:rPr>
          <w:t>перечень</w:t>
        </w:r>
      </w:hyperlink>
      <w:r>
        <w:t xml:space="preserve"> иностранных бирж), изменение стоимости которых зависит от величины процентных ставок, уровня инфляции, курсов валют.</w:t>
      </w:r>
    </w:p>
    <w:p w:rsidR="00261DAB" w:rsidRDefault="00261DAB">
      <w:pPr>
        <w:pStyle w:val="ConsPlusNormal"/>
        <w:ind w:firstLine="540"/>
        <w:jc w:val="both"/>
      </w:pPr>
      <w:r>
        <w:t>2.4.4. Права требования из договоров, заключенных для целей доверительного управления в отношении активов, указанных в настоящем пункте.</w:t>
      </w:r>
    </w:p>
    <w:p w:rsidR="00261DAB" w:rsidRDefault="00261DAB">
      <w:pPr>
        <w:pStyle w:val="ConsPlusNormal"/>
        <w:ind w:firstLine="540"/>
        <w:jc w:val="both"/>
      </w:pPr>
      <w:r>
        <w:t>2.4.5.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инвестиционный фонд.</w:t>
      </w:r>
    </w:p>
    <w:p w:rsidR="00261DAB" w:rsidRDefault="00261DAB">
      <w:pPr>
        <w:pStyle w:val="ConsPlusNormal"/>
        <w:ind w:firstLine="540"/>
        <w:jc w:val="both"/>
      </w:pPr>
      <w:r>
        <w:t xml:space="preserve">2.5. Активы, предусмотренные </w:t>
      </w:r>
      <w:hyperlink w:anchor="P54" w:history="1">
        <w:r>
          <w:rPr>
            <w:color w:val="0000FF"/>
          </w:rPr>
          <w:t>абзацами четвертым</w:t>
        </w:r>
      </w:hyperlink>
      <w:r>
        <w:t xml:space="preserve"> - </w:t>
      </w:r>
      <w:hyperlink w:anchor="P56" w:history="1">
        <w:r>
          <w:rPr>
            <w:color w:val="0000FF"/>
          </w:rPr>
          <w:t>шестым подпункта 2.4.1 пункта 2.4</w:t>
        </w:r>
      </w:hyperlink>
      <w:r>
        <w:t xml:space="preserve"> настоящего Указания, могут входить в состав активов инвестиционного фонда для неквалифицированных инвесторов, относящегося к категории фондов недвижимости, при одновременном соблюдении следующих условий:</w:t>
      </w:r>
    </w:p>
    <w:p w:rsidR="00261DAB" w:rsidRDefault="00261DAB">
      <w:pPr>
        <w:pStyle w:val="ConsPlusNormal"/>
        <w:ind w:firstLine="540"/>
        <w:jc w:val="both"/>
      </w:pPr>
      <w:bookmarkStart w:id="11" w:name="P66"/>
      <w:bookmarkEnd w:id="11"/>
      <w:r>
        <w:t>за предыдущий календарный год средняя доля фактически сданной в аренду полезной площади здания, помещения, единого недвижимого комплекса (площадь помещений, непосредственно предназначенных для использования собственниками или арендаторами здания или помещения при осуществлении ими деятельности и не относящихся к помещениям общего пользования, как то: общие входные помещения, общие коридоры, лифтовые холлы и шахты, туалетные комнаты, лестницы, лестничные холлы, переходы, внутренние открытые лестницы и пандусы, наружные балконы и портики, подвалы, чердаки, технические этажи, парковки, площадки, места (помещения) размещения инженерно-технологического оборудования, обслуживающего здание либо его часть) от общего размера полезной площади здания, помещения, единого недвижимого комплекса составляет не менее 40 процентов полезной площади здания, помещения, единого недвижимого комплекса;</w:t>
      </w:r>
    </w:p>
    <w:p w:rsidR="00261DAB" w:rsidRDefault="00261DAB">
      <w:pPr>
        <w:pStyle w:val="ConsPlusNormal"/>
        <w:ind w:firstLine="540"/>
        <w:jc w:val="both"/>
      </w:pPr>
      <w:r>
        <w:t>для целей определения стоимости чистых активов инвестиционного фонда договор о проведении оценки такого объекта недвижимости заключен с юридическим лицом, которое на дату оценки заключало договоры на проведение оценки объектов недвижимости ежегодно в течение последних календарных 10 лет и выручка которого за последний отчетный год от договоров на проведение оценки объектов недвижимости составляет не менее 100 миллионов рублей.</w:t>
      </w:r>
    </w:p>
    <w:p w:rsidR="00261DAB" w:rsidRDefault="00261DAB">
      <w:pPr>
        <w:pStyle w:val="ConsPlusNormal"/>
        <w:ind w:firstLine="540"/>
        <w:jc w:val="both"/>
      </w:pPr>
      <w:r>
        <w:t>2.6. Инвестиции в недвижимое имущество могут входить в состав активов инвестиционных фондов для неквалифицированных инвесторов, относящихся к категории фондов недвижимости, в случае если в соответствии с правилами доверительного управления инвестиционным фондом:</w:t>
      </w:r>
    </w:p>
    <w:p w:rsidR="00261DAB" w:rsidRDefault="00261DAB">
      <w:pPr>
        <w:pStyle w:val="ConsPlusNormal"/>
        <w:ind w:firstLine="540"/>
        <w:jc w:val="both"/>
      </w:pPr>
      <w:bookmarkStart w:id="12" w:name="P69"/>
      <w:bookmarkEnd w:id="12"/>
      <w:r>
        <w:t>сумма денежных средств (стоимость имущества), на которую выдается инвестиционный пай при формировании фонда, составляет не менее 300 000 рублей;</w:t>
      </w:r>
    </w:p>
    <w:p w:rsidR="00261DAB" w:rsidRDefault="00261DAB">
      <w:pPr>
        <w:pStyle w:val="ConsPlusNormal"/>
        <w:ind w:firstLine="540"/>
        <w:jc w:val="both"/>
      </w:pPr>
      <w:bookmarkStart w:id="13" w:name="P70"/>
      <w:bookmarkEnd w:id="13"/>
      <w:r>
        <w:t>выдача инвестиционных паев при формировании инвестиционного фонда осуществляется при условии передачи в их оплату денежных средств и (или) иного имущества совокупной стоимостью не менее 300 000 рублей;</w:t>
      </w:r>
    </w:p>
    <w:p w:rsidR="00261DAB" w:rsidRDefault="00261DAB">
      <w:pPr>
        <w:pStyle w:val="ConsPlusNormal"/>
        <w:ind w:firstLine="540"/>
        <w:jc w:val="both"/>
      </w:pPr>
      <w:r>
        <w:t>выдача дополнительных инвестиционных паев инвестиционного фонда осуществляется при условии передачи в их оплату денежных средств и (или) иного имущества совокупной стоимостью не менее 300 000 рублей;</w:t>
      </w:r>
    </w:p>
    <w:p w:rsidR="00261DAB" w:rsidRDefault="00261DAB">
      <w:pPr>
        <w:pStyle w:val="ConsPlusNormal"/>
        <w:ind w:firstLine="540"/>
        <w:jc w:val="both"/>
      </w:pPr>
      <w:r>
        <w:lastRenderedPageBreak/>
        <w:t>не предусмотрено право управляющей компании проводить дробление инвестиционных паев.</w:t>
      </w:r>
    </w:p>
    <w:p w:rsidR="00261DAB" w:rsidRDefault="00261DAB">
      <w:pPr>
        <w:pStyle w:val="ConsPlusNormal"/>
        <w:ind w:firstLine="540"/>
        <w:jc w:val="both"/>
      </w:pPr>
      <w:r>
        <w:t xml:space="preserve">Требования </w:t>
      </w:r>
      <w:hyperlink w:anchor="P69" w:history="1">
        <w:r>
          <w:rPr>
            <w:color w:val="0000FF"/>
          </w:rPr>
          <w:t>абзацев второго</w:t>
        </w:r>
      </w:hyperlink>
      <w:r>
        <w:t xml:space="preserve"> и </w:t>
      </w:r>
      <w:hyperlink w:anchor="P70" w:history="1">
        <w:r>
          <w:rPr>
            <w:color w:val="0000FF"/>
          </w:rPr>
          <w:t>третьего</w:t>
        </w:r>
      </w:hyperlink>
      <w:r>
        <w:t xml:space="preserve"> настоящего пункта не распространяются на паевые инвестиционные фонды, правила доверительного управления которыми зарегистрированы до даты вступления в силу настоящего Указания.</w:t>
      </w:r>
    </w:p>
    <w:p w:rsidR="00261DAB" w:rsidRDefault="00261DAB">
      <w:pPr>
        <w:pStyle w:val="ConsPlusNormal"/>
        <w:ind w:firstLine="540"/>
        <w:jc w:val="both"/>
      </w:pPr>
      <w:r>
        <w:t>2.7. В состав активов фондов для квалифицированных инвесторов, относящихся к категории фондов недвижимости, могут входить только:</w:t>
      </w:r>
    </w:p>
    <w:p w:rsidR="00261DAB" w:rsidRDefault="00261DAB">
      <w:pPr>
        <w:pStyle w:val="ConsPlusNormal"/>
        <w:ind w:firstLine="540"/>
        <w:jc w:val="both"/>
      </w:pPr>
      <w:r>
        <w:t>недвижимое имущество, в том числе находящееся в общей собственности с определением доли управляющей компании инвестиционного фонда в праве собственности;</w:t>
      </w:r>
    </w:p>
    <w:p w:rsidR="00261DAB" w:rsidRDefault="00261DAB">
      <w:pPr>
        <w:pStyle w:val="ConsPlusNormal"/>
        <w:ind w:firstLine="540"/>
        <w:jc w:val="both"/>
      </w:pPr>
      <w:r>
        <w:t xml:space="preserve">имущественные права на недвижимое имущество, в том числе права аренды недвижимого имущества, права из договоров, на основании которых осуществляется строительство (создание) объектов недвижимого имущества на выделенном в установленном порядке для целей строительства (создания) указанного объекта недвижимости земельном участке, который (право аренды которого) составляет активы инвестиционного фонда, права из договоров участия в долевом строительстве объектов недвижимого имущества, заключенных в соответствии с Федеральным </w:t>
      </w:r>
      <w:hyperlink r:id="rId15" w:history="1">
        <w:r>
          <w:rPr>
            <w:color w:val="0000FF"/>
          </w:rPr>
          <w:t>законом</w:t>
        </w:r>
      </w:hyperlink>
      <w:r>
        <w:t xml:space="preserve"> от 30 декабря 2004 года N 214-ФЗ;</w:t>
      </w:r>
    </w:p>
    <w:p w:rsidR="00261DAB" w:rsidRDefault="00261DAB">
      <w:pPr>
        <w:pStyle w:val="ConsPlusNormal"/>
        <w:ind w:firstLine="540"/>
        <w:jc w:val="both"/>
      </w:pPr>
      <w:r>
        <w:t>имущественные права, связанные с возникновением права собственности на объект недвижимости (его часть) после завершения его строительства (создания);</w:t>
      </w:r>
    </w:p>
    <w:p w:rsidR="00261DAB" w:rsidRDefault="00261DAB">
      <w:pPr>
        <w:pStyle w:val="ConsPlusNormal"/>
        <w:ind w:firstLine="540"/>
        <w:jc w:val="both"/>
      </w:pPr>
      <w:r>
        <w:t>имущественные права из договоров, на основании которых осуществляется реконструкция объектов недвижимости, составляющих активы инвестиционного фонда;</w:t>
      </w:r>
    </w:p>
    <w:p w:rsidR="00261DAB" w:rsidRDefault="00261DAB">
      <w:pPr>
        <w:pStyle w:val="ConsPlusNormal"/>
        <w:ind w:firstLine="540"/>
        <w:jc w:val="both"/>
      </w:pPr>
      <w:r>
        <w:t>проектная документация для строительства или реконструкции объекта недвижимости;</w:t>
      </w:r>
    </w:p>
    <w:p w:rsidR="00261DAB" w:rsidRDefault="00261DAB">
      <w:pPr>
        <w:pStyle w:val="ConsPlusNormal"/>
        <w:ind w:firstLine="540"/>
        <w:jc w:val="both"/>
      </w:pPr>
      <w:r>
        <w:t>производные финансовые инструменты, изменение стоимости которых зависит от величины процентных ставок, уровня инфляции, курсов валют;</w:t>
      </w:r>
    </w:p>
    <w:p w:rsidR="00261DAB" w:rsidRDefault="00261DAB">
      <w:pPr>
        <w:pStyle w:val="ConsPlusNormal"/>
        <w:ind w:firstLine="540"/>
        <w:jc w:val="both"/>
      </w:pPr>
      <w:r>
        <w:t>денежные средства в рублях и в иностранной валюте на счетах и во вкладах (депозитах) в российских кредитных организациях и иностранных банках любых иностранных государств, депозитные сертификаты российских кредитных организаций и иностранных банков любых иностранных государств, государственные ценные бумаги Российской Федерации и любых иностранных государств, требования к кредитной организации выплатить денежный эквивалент драгоценных металлов по текущему курсу;</w:t>
      </w:r>
    </w:p>
    <w:p w:rsidR="00261DAB" w:rsidRDefault="00261DAB">
      <w:pPr>
        <w:pStyle w:val="ConsPlusNormal"/>
        <w:ind w:firstLine="540"/>
        <w:jc w:val="both"/>
      </w:pPr>
      <w:r>
        <w:t>права требования из договоров, заключенных для целей доверительного управления в отношении указанных активов (за исключением прав требования, возникающих из договоров займа);</w:t>
      </w:r>
    </w:p>
    <w:p w:rsidR="00261DAB" w:rsidRDefault="00261DAB">
      <w:pPr>
        <w:pStyle w:val="ConsPlusNormal"/>
        <w:ind w:firstLine="540"/>
        <w:jc w:val="both"/>
      </w:pPr>
      <w:r>
        <w:t>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инвестиционный фонд.</w:t>
      </w:r>
    </w:p>
    <w:p w:rsidR="00261DAB" w:rsidRDefault="00261DAB">
      <w:pPr>
        <w:pStyle w:val="ConsPlusNormal"/>
        <w:ind w:firstLine="540"/>
        <w:jc w:val="both"/>
      </w:pPr>
      <w:bookmarkStart w:id="14" w:name="P84"/>
      <w:bookmarkEnd w:id="14"/>
      <w:r>
        <w:t>2.8. В состав активов инвестиционных фондов, относящихся к категории комбинированных фондов, могут входить любые активы, за исключением наличных денежных средств.</w:t>
      </w:r>
    </w:p>
    <w:p w:rsidR="00261DAB" w:rsidRDefault="00261DAB">
      <w:pPr>
        <w:pStyle w:val="ConsPlusNormal"/>
        <w:ind w:firstLine="540"/>
        <w:jc w:val="both"/>
      </w:pPr>
      <w:bookmarkStart w:id="15" w:name="P85"/>
      <w:bookmarkEnd w:id="15"/>
      <w:r>
        <w:t xml:space="preserve">2.9. Доля стоимости инструментов денежного рынка со сроком до погашения (закрытия) менее трех месяцев,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фондовых индексов, указанных в </w:t>
      </w:r>
      <w:hyperlink w:anchor="P145" w:history="1">
        <w:r>
          <w:rPr>
            <w:color w:val="0000FF"/>
          </w:rPr>
          <w:t>приложении</w:t>
        </w:r>
      </w:hyperlink>
      <w:r>
        <w:t xml:space="preserve"> к настоящему Указанию, от стоимости чистых активов открытых паевых инвестиционных фондов в совокупности должна превышать большую из следующих величин:</w:t>
      </w:r>
    </w:p>
    <w:p w:rsidR="00261DAB" w:rsidRDefault="00261DAB">
      <w:pPr>
        <w:pStyle w:val="ConsPlusNormal"/>
        <w:ind w:firstLine="540"/>
        <w:jc w:val="both"/>
      </w:pPr>
      <w:r>
        <w:t>пять процентов;</w:t>
      </w:r>
    </w:p>
    <w:p w:rsidR="00261DAB" w:rsidRDefault="00261DAB">
      <w:pPr>
        <w:pStyle w:val="ConsPlusNormal"/>
        <w:ind w:firstLine="540"/>
        <w:jc w:val="both"/>
      </w:pPr>
      <w:r>
        <w:t xml:space="preserve">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(данное требование применяется, в случае если с даты завершения (окончания) формирования паевого инвестиционного фонда прошло 36 календарных месяцев и более). Величина чистого месячного оттока инвестиционных паев определяется как отношение в </w:t>
      </w:r>
      <w:r>
        <w:lastRenderedPageBreak/>
        <w:t>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rsidR="00261DAB" w:rsidRDefault="00261DAB">
      <w:pPr>
        <w:pStyle w:val="ConsPlusNormal"/>
        <w:ind w:firstLine="540"/>
        <w:jc w:val="both"/>
      </w:pPr>
      <w: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261DAB" w:rsidRDefault="00261DAB">
      <w:pPr>
        <w:pStyle w:val="ConsPlusNormal"/>
        <w:ind w:firstLine="540"/>
        <w:jc w:val="both"/>
      </w:pPr>
      <w: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261DAB" w:rsidRDefault="00261DAB">
      <w:pPr>
        <w:pStyle w:val="ConsPlusNormal"/>
        <w:ind w:firstLine="540"/>
        <w:jc w:val="both"/>
      </w:pPr>
      <w:bookmarkStart w:id="16" w:name="P90"/>
      <w:bookmarkEnd w:id="16"/>
      <w:r>
        <w:t>2.10.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банком иностранного государства),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 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процентов стоимости активов инвестиционного фонда для неквалифицированных инвесторов.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61DAB" w:rsidRDefault="00261DAB">
      <w:pPr>
        <w:pStyle w:val="ConsPlusNormal"/>
        <w:ind w:firstLine="540"/>
        <w:jc w:val="both"/>
      </w:pPr>
      <w:bookmarkStart w:id="17" w:name="P91"/>
      <w:bookmarkEnd w:id="17"/>
      <w: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процентов стоимости активов инвестиционного фонда для неквалифицированных инвесторов.</w:t>
      </w:r>
    </w:p>
    <w:p w:rsidR="00261DAB" w:rsidRDefault="00261DAB">
      <w:pPr>
        <w:pStyle w:val="ConsPlusNormal"/>
        <w:ind w:firstLine="540"/>
        <w:jc w:val="both"/>
      </w:pPr>
      <w: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261DAB" w:rsidRDefault="00261DAB">
      <w:pPr>
        <w:pStyle w:val="ConsPlusNormal"/>
        <w:ind w:firstLine="540"/>
        <w:jc w:val="both"/>
      </w:pPr>
      <w:bookmarkStart w:id="18" w:name="P93"/>
      <w:bookmarkEnd w:id="18"/>
      <w: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инвестиционного фонда для неквалифицированных инвесторов (без учета требования, установленного </w:t>
      </w:r>
      <w:hyperlink w:anchor="P90" w:history="1">
        <w:r>
          <w:rPr>
            <w:color w:val="0000FF"/>
          </w:rPr>
          <w:t>абзацем первым</w:t>
        </w:r>
      </w:hyperlink>
      <w:r>
        <w:t xml:space="preserve">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процентов стоимости активов инвестиционного фонда.</w:t>
      </w:r>
    </w:p>
    <w:p w:rsidR="00261DAB" w:rsidRDefault="00261DAB">
      <w:pPr>
        <w:pStyle w:val="ConsPlusNormal"/>
        <w:ind w:firstLine="540"/>
        <w:jc w:val="both"/>
      </w:pPr>
      <w:r>
        <w:t xml:space="preserve">Требования </w:t>
      </w:r>
      <w:hyperlink w:anchor="P90" w:history="1">
        <w:r>
          <w:rPr>
            <w:color w:val="0000FF"/>
          </w:rPr>
          <w:t>первого</w:t>
        </w:r>
      </w:hyperlink>
      <w:r>
        <w:t xml:space="preserve"> и </w:t>
      </w:r>
      <w:hyperlink w:anchor="P91" w:history="1">
        <w:r>
          <w:rPr>
            <w:color w:val="0000FF"/>
          </w:rPr>
          <w:t>второго абзацев</w:t>
        </w:r>
      </w:hyperlink>
      <w:r>
        <w:t xml:space="preserve"> настоящего пункта не применяются до даты завершения (окончания) формирования паевого инвестиционного фонда и в течение месяца после этой даты.</w:t>
      </w:r>
    </w:p>
    <w:p w:rsidR="00261DAB" w:rsidRDefault="00261DAB">
      <w:pPr>
        <w:pStyle w:val="ConsPlusNormal"/>
        <w:ind w:firstLine="540"/>
        <w:jc w:val="both"/>
      </w:pPr>
      <w:r>
        <w:t xml:space="preserve">Для целей расчета ограничения, указанного в </w:t>
      </w:r>
      <w:hyperlink w:anchor="P90" w:history="1">
        <w:r>
          <w:rPr>
            <w:color w:val="0000FF"/>
          </w:rPr>
          <w:t>абзаце первом</w:t>
        </w:r>
      </w:hyperlink>
      <w:r>
        <w:t xml:space="preserve">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w:t>
      </w:r>
      <w:r>
        <w:lastRenderedPageBreak/>
        <w:t>выплате в связи с погашением и обменом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паевого инвестиционного фонда или в связи с выплатой дохода от доверительного управления имуществом, составляющим такой фонд, на момент расчета ограничения.</w:t>
      </w:r>
    </w:p>
    <w:p w:rsidR="00261DAB" w:rsidRDefault="00261DAB">
      <w:pPr>
        <w:pStyle w:val="ConsPlusNormal"/>
        <w:ind w:firstLine="540"/>
        <w:jc w:val="both"/>
      </w:pPr>
      <w:r>
        <w:t xml:space="preserve">2.11. При определении структуры активов инвестиционного фонда учитываются активы, принятые к расчету стоимости его чистых активов (с учетом требования, установленного </w:t>
      </w:r>
      <w:hyperlink w:anchor="P93" w:history="1">
        <w:r>
          <w:rPr>
            <w:color w:val="0000FF"/>
          </w:rPr>
          <w:t>абзацем четвертым пункта 2.10</w:t>
        </w:r>
      </w:hyperlink>
      <w:r>
        <w:t xml:space="preserve"> настоящего Указания).</w:t>
      </w:r>
    </w:p>
    <w:p w:rsidR="00261DAB" w:rsidRDefault="00261DAB">
      <w:pPr>
        <w:pStyle w:val="ConsPlusNormal"/>
        <w:ind w:firstLine="540"/>
        <w:jc w:val="both"/>
      </w:pPr>
    </w:p>
    <w:p w:rsidR="00261DAB" w:rsidRDefault="00261DAB">
      <w:pPr>
        <w:pStyle w:val="ConsPlusNormal"/>
        <w:ind w:firstLine="540"/>
        <w:jc w:val="both"/>
        <w:outlineLvl w:val="1"/>
      </w:pPr>
      <w:r>
        <w:t>Глава 3. Порядок устранения несоответствия состава и (или) структуры активов инвестиционного фонда требованиям настоящего Указания или инвестиционной декларации инвестиционного фонда</w:t>
      </w:r>
    </w:p>
    <w:p w:rsidR="00261DAB" w:rsidRDefault="00261DAB">
      <w:pPr>
        <w:pStyle w:val="ConsPlusNormal"/>
        <w:ind w:firstLine="540"/>
        <w:jc w:val="both"/>
      </w:pPr>
    </w:p>
    <w:p w:rsidR="00261DAB" w:rsidRDefault="00261DAB">
      <w:pPr>
        <w:pStyle w:val="ConsPlusNormal"/>
        <w:ind w:firstLine="540"/>
        <w:jc w:val="both"/>
      </w:pPr>
      <w:bookmarkStart w:id="19" w:name="P100"/>
      <w:bookmarkEnd w:id="19"/>
      <w:r>
        <w:t>3.1. Несоответствие состава и (или) структуры активов акционерного инвестиционного фонда, интервального и закрытого паевых инвестиционных фондов требованиям настоящего Указания или инвестиционной декларации инвестиционного фонда должно быть устранено в следующие сроки.</w:t>
      </w:r>
    </w:p>
    <w:p w:rsidR="00261DAB" w:rsidRDefault="00261DAB">
      <w:pPr>
        <w:pStyle w:val="ConsPlusNormal"/>
        <w:ind w:firstLine="540"/>
        <w:jc w:val="both"/>
      </w:pPr>
      <w:r>
        <w:t xml:space="preserve">3.1.1. В случае возникновения такого несоответствия в результате нарушения требования, установленного </w:t>
      </w:r>
      <w:hyperlink w:anchor="P66" w:history="1">
        <w:r>
          <w:rPr>
            <w:color w:val="0000FF"/>
          </w:rPr>
          <w:t>абзацем вторым пункта 2.5</w:t>
        </w:r>
      </w:hyperlink>
      <w:r>
        <w:t xml:space="preserve"> настоящего Указания, - в течение одного года с даты, когда указанное несоответствие было или должно было быть выявлено.</w:t>
      </w:r>
    </w:p>
    <w:p w:rsidR="00261DAB" w:rsidRDefault="00261DAB">
      <w:pPr>
        <w:pStyle w:val="ConsPlusNormal"/>
        <w:ind w:firstLine="540"/>
        <w:jc w:val="both"/>
      </w:pPr>
      <w:r>
        <w:t>3.1.2. В случае возникновения такого несоответствия в результате внесения в законодательство Российской Федерации, устанавливающее требования к составу и структуре активов инвестиционных фондов, или в инвестиционную декларацию инвестиционного фонда изменений и дополнений (за исключением несоответствий, возникших в результате вступления в силу настоящего Указания) - в течение трех месяцев с даты вступления в силу указанных изменений и дополнений.</w:t>
      </w:r>
    </w:p>
    <w:p w:rsidR="00261DAB" w:rsidRDefault="00261DAB">
      <w:pPr>
        <w:pStyle w:val="ConsPlusNormal"/>
        <w:ind w:firstLine="540"/>
        <w:jc w:val="both"/>
      </w:pPr>
      <w:r>
        <w:t>3.1.3. В случае возникновения такого несоответствия по иным причинам, не зависящим от действий управляющей компании инвестиционного фонда, а также в результате реализации прав, закрепленных ценными бумагами и договорами, являющимися производными финансовыми инструментами, - в течение шести месяцев с даты, когда указанное несоответствие было или должно было быть выявлено.</w:t>
      </w:r>
    </w:p>
    <w:p w:rsidR="00261DAB" w:rsidRDefault="00261DAB">
      <w:pPr>
        <w:pStyle w:val="ConsPlusNormal"/>
        <w:ind w:firstLine="540"/>
        <w:jc w:val="both"/>
      </w:pPr>
      <w:r>
        <w:t xml:space="preserve">3.1.4. В случае возникновения несоответствия требованию, установленному </w:t>
      </w:r>
      <w:hyperlink w:anchor="P41" w:history="1">
        <w:r>
          <w:rPr>
            <w:color w:val="0000FF"/>
          </w:rPr>
          <w:t>абзацем третьим пункта 2.2</w:t>
        </w:r>
      </w:hyperlink>
      <w:r>
        <w:t xml:space="preserve"> настоящего Указания, в отношении договора банковского вклада (депозита), заключенного до даты вступления в силу настоящего Указания, - в срок до 1 января 2018 года.</w:t>
      </w:r>
    </w:p>
    <w:p w:rsidR="00261DAB" w:rsidRDefault="00261DAB">
      <w:pPr>
        <w:pStyle w:val="ConsPlusNormal"/>
        <w:ind w:firstLine="540"/>
        <w:jc w:val="both"/>
      </w:pPr>
      <w:r>
        <w:t xml:space="preserve">3.2. Положения </w:t>
      </w:r>
      <w:hyperlink w:anchor="P100" w:history="1">
        <w:r>
          <w:rPr>
            <w:color w:val="0000FF"/>
          </w:rPr>
          <w:t>пункта 3.1</w:t>
        </w:r>
      </w:hyperlink>
      <w:r>
        <w:t xml:space="preserve"> настоящего Указания применяются к инвестиционным фондам, уставом (правилами доверительного управления) которых предусмотрено, что их акции (инвестиционные паи) предназначены только для квалифицированных инвесторов, в случае если инвестиционной декларацией инвестиционного фонда не предусмотрено иное.</w:t>
      </w:r>
    </w:p>
    <w:p w:rsidR="00261DAB" w:rsidRDefault="00261DAB">
      <w:pPr>
        <w:pStyle w:val="ConsPlusNormal"/>
        <w:ind w:firstLine="540"/>
        <w:jc w:val="both"/>
      </w:pPr>
      <w:r>
        <w:t>3.3. Несоответствие состава и (или) структуры активов иных инвестиционных фондов требованиям настоящего Указания или инвестиционной декларации инвестиционного фонда должно быть устранено в следующие сроки.</w:t>
      </w:r>
    </w:p>
    <w:p w:rsidR="00261DAB" w:rsidRDefault="00261DAB">
      <w:pPr>
        <w:pStyle w:val="ConsPlusNormal"/>
        <w:ind w:firstLine="540"/>
        <w:jc w:val="both"/>
      </w:pPr>
      <w:r>
        <w:t>3.3.1. В случае возникновения такого несоответствия в результате размещения ценных бумаг при реорганизации юридических лиц, при изменении номинальной стоимости акций или изменении прав по акциям акционерных обществ, при дроблении или консолидации акций акционерных обществ, - в течение шести месяцев с даты, когда указанное несоответствие было или должно было быть выявлено.</w:t>
      </w:r>
    </w:p>
    <w:p w:rsidR="00261DAB" w:rsidRDefault="00261DAB">
      <w:pPr>
        <w:pStyle w:val="ConsPlusNormal"/>
        <w:ind w:firstLine="540"/>
        <w:jc w:val="both"/>
      </w:pPr>
      <w:r>
        <w:t xml:space="preserve">3.3.2. В случае возникновения такого несоответствия в результате внесения в законодательство Российской Федерации, устанавливающее требования к составу и структуре активов инвестиционных фондов, или в инвестиционную декларацию инвестиционного фонда изменений и дополнений (за исключением несоответствий, возникших в результате вступления в силу настоящего Указания) - в течение трех месяцев с даты вступления в силу указанных </w:t>
      </w:r>
      <w:r>
        <w:lastRenderedPageBreak/>
        <w:t>изменений и дополнений.</w:t>
      </w:r>
    </w:p>
    <w:p w:rsidR="00261DAB" w:rsidRDefault="00261DAB">
      <w:pPr>
        <w:pStyle w:val="ConsPlusNormal"/>
        <w:ind w:firstLine="540"/>
        <w:jc w:val="both"/>
      </w:pPr>
      <w:r>
        <w:t>3.3.3. В случае возникновения такого несоответствия по иным причинам, не зависящим от действий управляющей компании инвестиционного фонда, а также в результате реализации прав, закрепленных ценными бумагами и договорами, являющимися производными финансовыми инструментами, - в течение одного месяца с даты, когда указанное несоответствие было или должно было быть выявлено.</w:t>
      </w:r>
    </w:p>
    <w:p w:rsidR="00261DAB" w:rsidRDefault="00261DAB">
      <w:pPr>
        <w:pStyle w:val="ConsPlusNormal"/>
        <w:ind w:firstLine="540"/>
        <w:jc w:val="both"/>
      </w:pPr>
      <w:r>
        <w:t xml:space="preserve">3.3.4. В случае возникновения несоответствия требованию, установленному </w:t>
      </w:r>
      <w:hyperlink w:anchor="P41" w:history="1">
        <w:r>
          <w:rPr>
            <w:color w:val="0000FF"/>
          </w:rPr>
          <w:t>абзацем третьим пункта 2.2</w:t>
        </w:r>
      </w:hyperlink>
      <w:r>
        <w:t xml:space="preserve"> настоящего Указания, в отношении договора банковского вклада (депозита), заключенного до даты вступления в силу настоящего Указания, - в срок до 1 января 2018 года.</w:t>
      </w:r>
    </w:p>
    <w:p w:rsidR="00261DAB" w:rsidRDefault="00261DAB">
      <w:pPr>
        <w:pStyle w:val="ConsPlusNormal"/>
        <w:ind w:firstLine="540"/>
        <w:jc w:val="both"/>
      </w:pPr>
      <w:r>
        <w:t xml:space="preserve">3.3.5. В случае возникновения несоответствия требованию, установленному </w:t>
      </w:r>
      <w:hyperlink w:anchor="P85" w:history="1">
        <w:r>
          <w:rPr>
            <w:color w:val="0000FF"/>
          </w:rPr>
          <w:t>пунктом 2.9</w:t>
        </w:r>
      </w:hyperlink>
      <w:r>
        <w:t xml:space="preserve"> настоящего Указания, в результате изменения стоимости чистых активов, погашения или обмена инвестиционных паев, - в течение двух недель с даты, когда указанное несоответствие было или должно было быть выявлено.</w:t>
      </w:r>
    </w:p>
    <w:p w:rsidR="00261DAB" w:rsidRDefault="00261DAB">
      <w:pPr>
        <w:pStyle w:val="ConsPlusNormal"/>
        <w:ind w:firstLine="540"/>
        <w:jc w:val="both"/>
      </w:pPr>
      <w:bookmarkStart w:id="20" w:name="P112"/>
      <w:bookmarkEnd w:id="20"/>
      <w:r>
        <w:t>3.4. Несоответствие состава и (или) структуры активов инвестиционного фонда требованиям настоящего Указания или инвестиционной декларации инвестиционного фонда должно быть устранено мерами, в наибольшей степени отвечающими интересам акционеров (владельцев инвестиционных паев) инвестиционного фонда.</w:t>
      </w:r>
    </w:p>
    <w:p w:rsidR="00261DAB" w:rsidRDefault="00261DAB">
      <w:pPr>
        <w:pStyle w:val="ConsPlusNormal"/>
        <w:ind w:firstLine="540"/>
        <w:jc w:val="both"/>
      </w:pPr>
      <w:r>
        <w:t>3.5. Если иное не установлено правилами доверительного управления паевым инвестиционным фондом, требования настоящего Указания к структуре активов такого фонда не применяются с даты возникновения основания его прекращения.</w:t>
      </w:r>
    </w:p>
    <w:p w:rsidR="00261DAB" w:rsidRDefault="00261DAB">
      <w:pPr>
        <w:pStyle w:val="ConsPlusNormal"/>
        <w:ind w:firstLine="540"/>
        <w:jc w:val="both"/>
      </w:pPr>
    </w:p>
    <w:p w:rsidR="00261DAB" w:rsidRDefault="00261DAB">
      <w:pPr>
        <w:pStyle w:val="ConsPlusNormal"/>
        <w:ind w:firstLine="540"/>
        <w:jc w:val="both"/>
        <w:outlineLvl w:val="1"/>
      </w:pPr>
      <w:r>
        <w:t>Глава 4. Заключительные положения</w:t>
      </w:r>
    </w:p>
    <w:p w:rsidR="00261DAB" w:rsidRDefault="00261DAB">
      <w:pPr>
        <w:pStyle w:val="ConsPlusNormal"/>
        <w:ind w:firstLine="540"/>
        <w:jc w:val="both"/>
      </w:pPr>
    </w:p>
    <w:p w:rsidR="00261DAB" w:rsidRDefault="00261DAB">
      <w:pPr>
        <w:pStyle w:val="ConsPlusNormal"/>
        <w:ind w:firstLine="540"/>
        <w:jc w:val="both"/>
      </w:pPr>
      <w:r>
        <w:t>4.1. Настоящее Указание в соответствии с решением Совета директоров Банка России (протокол заседания Совета директоров Банка России от 30 августа 2016 года N 25) вступает в силу по истечении 30 дней после дня его официального опубликования &lt;1&gt;.</w:t>
      </w:r>
    </w:p>
    <w:p w:rsidR="00261DAB" w:rsidRDefault="00261DAB">
      <w:pPr>
        <w:pStyle w:val="ConsPlusNormal"/>
        <w:ind w:firstLine="540"/>
        <w:jc w:val="both"/>
      </w:pPr>
      <w:r>
        <w:t>--------------------------------</w:t>
      </w:r>
    </w:p>
    <w:p w:rsidR="00261DAB" w:rsidRDefault="00261DAB">
      <w:pPr>
        <w:pStyle w:val="ConsPlusNormal"/>
        <w:ind w:firstLine="540"/>
        <w:jc w:val="both"/>
      </w:pPr>
      <w:r>
        <w:t>&lt;1&gt; Официально опубликовано на сайте Банка России 17.11.2016.</w:t>
      </w:r>
    </w:p>
    <w:p w:rsidR="00261DAB" w:rsidRDefault="00261DAB">
      <w:pPr>
        <w:pStyle w:val="ConsPlusNormal"/>
        <w:ind w:firstLine="540"/>
        <w:jc w:val="both"/>
      </w:pPr>
    </w:p>
    <w:p w:rsidR="00261DAB" w:rsidRDefault="00261DAB">
      <w:pPr>
        <w:pStyle w:val="ConsPlusNormal"/>
        <w:ind w:firstLine="540"/>
        <w:jc w:val="both"/>
      </w:pPr>
      <w:bookmarkStart w:id="21" w:name="P121"/>
      <w:bookmarkEnd w:id="21"/>
      <w:r>
        <w:t>4.2. Управляющие компании открытых паевых инвестиционных фондов должны привести свою деятельность в соответствие с требованиями настоящего Указания в течение одного года с даты вступления в силу настоящего Указания. Управляющие компании интервальных паевых инвестиционных фондов должны привести свою деятельность в соответствие с требованиями настоящего Указания в течение трех лет с даты вступления в силу настоящего Указания. Иные инвестиционные фонды (управляющие компании) должны привести свою деятельность в соответствие с требованиями настоящего Указания в течение 10 лет с даты вступления в силу настоящего Указания.</w:t>
      </w:r>
    </w:p>
    <w:p w:rsidR="00261DAB" w:rsidRDefault="00261DAB">
      <w:pPr>
        <w:pStyle w:val="ConsPlusNormal"/>
        <w:ind w:firstLine="540"/>
        <w:jc w:val="both"/>
      </w:pPr>
      <w:r>
        <w:t xml:space="preserve">Требования </w:t>
      </w:r>
      <w:hyperlink w:anchor="P121" w:history="1">
        <w:r>
          <w:rPr>
            <w:color w:val="0000FF"/>
          </w:rPr>
          <w:t>абзаца первого</w:t>
        </w:r>
      </w:hyperlink>
      <w:r>
        <w:t xml:space="preserve"> настоящего пункта не распространяются на случаи устранения несоответствия состава и (или) структуры активов паевых инвестиционных фондов и акционерных инвестиционных фондов инвестиционной декларации инвестиционного фонда, предусмотренные </w:t>
      </w:r>
      <w:hyperlink w:anchor="P100" w:history="1">
        <w:r>
          <w:rPr>
            <w:color w:val="0000FF"/>
          </w:rPr>
          <w:t>пунктами 3.1</w:t>
        </w:r>
      </w:hyperlink>
      <w:r>
        <w:t xml:space="preserve"> - </w:t>
      </w:r>
      <w:hyperlink w:anchor="P112" w:history="1">
        <w:r>
          <w:rPr>
            <w:color w:val="0000FF"/>
          </w:rPr>
          <w:t>3.4</w:t>
        </w:r>
      </w:hyperlink>
      <w:r>
        <w:t xml:space="preserve"> настоящего Указания.</w:t>
      </w:r>
    </w:p>
    <w:p w:rsidR="00261DAB" w:rsidRDefault="00261DAB">
      <w:pPr>
        <w:pStyle w:val="ConsPlusNormal"/>
        <w:ind w:firstLine="540"/>
        <w:jc w:val="both"/>
      </w:pPr>
      <w:r>
        <w:t xml:space="preserve">Требования настоящего Указания, за исключением </w:t>
      </w:r>
      <w:hyperlink w:anchor="P100" w:history="1">
        <w:r>
          <w:rPr>
            <w:color w:val="0000FF"/>
          </w:rPr>
          <w:t>пунктов 3.1</w:t>
        </w:r>
      </w:hyperlink>
      <w:r>
        <w:t xml:space="preserve"> - </w:t>
      </w:r>
      <w:hyperlink w:anchor="P112" w:history="1">
        <w:r>
          <w:rPr>
            <w:color w:val="0000FF"/>
          </w:rPr>
          <w:t>3.4</w:t>
        </w:r>
      </w:hyperlink>
      <w:r>
        <w:t xml:space="preserve"> настоящего Указания (в части устранения несоответствия состава и (или) структуры активов паевых инвестиционных фондов и акционерных инвестиционных фондов инвестиционной декларации инвестиционного фонда) и настоящего пункта, не распространяются на паевые инвестиционные фонды, правила доверительного управления которыми зарегистрированы до даты вступления в силу настоящего Указания, и акционерные инвестиционные фонды, которым предоставлена лицензия до даты вступления в силу настоящего Указания, до даты вступления в силу изменений в инвестиционную декларацию таких фондов, которые зарегистрированы (утверждены) после вступления в силу настоящего Указания.</w:t>
      </w:r>
    </w:p>
    <w:p w:rsidR="00261DAB" w:rsidRDefault="00261DAB">
      <w:pPr>
        <w:pStyle w:val="ConsPlusNormal"/>
        <w:ind w:firstLine="540"/>
        <w:jc w:val="both"/>
      </w:pPr>
      <w:r>
        <w:t>Управляющая компания закрытого паевого инвестиционного фонда, инвестиционная декларация которого не соответствует требованиям настоящего Указания, не вправе принимать заявки на приобретение дополнительных инвестиционных паев такого фонда по истечении одного года с даты вступления в силу настоящего Указания,</w:t>
      </w:r>
    </w:p>
    <w:p w:rsidR="00261DAB" w:rsidRDefault="00261DAB">
      <w:pPr>
        <w:pStyle w:val="ConsPlusNormal"/>
        <w:ind w:firstLine="540"/>
        <w:jc w:val="both"/>
      </w:pPr>
      <w:r>
        <w:lastRenderedPageBreak/>
        <w:t>Допускается внесение изменений и дополнений в правила доверительного управления паевым инвестиционным фондом, не касающихся инвестиционной декларации и (или) категории фонда, без приведения правил доверительного управления паевым инвестиционным фондом в соответствие с требованиями настоящего Указания.</w:t>
      </w:r>
    </w:p>
    <w:p w:rsidR="00261DAB" w:rsidRDefault="00261DAB">
      <w:pPr>
        <w:pStyle w:val="ConsPlusNormal"/>
        <w:ind w:firstLine="540"/>
        <w:jc w:val="both"/>
      </w:pPr>
      <w:r>
        <w:t>4.3. Со дня вступления в силу настоящего Указания не применять:</w:t>
      </w:r>
    </w:p>
    <w:p w:rsidR="00261DAB" w:rsidRDefault="00261DAB">
      <w:pPr>
        <w:pStyle w:val="ConsPlusNormal"/>
        <w:ind w:firstLine="540"/>
        <w:jc w:val="both"/>
      </w:pPr>
      <w:hyperlink r:id="rId16" w:history="1">
        <w:r>
          <w:rPr>
            <w:color w:val="0000FF"/>
          </w:rPr>
          <w:t>приказ</w:t>
        </w:r>
      </w:hyperlink>
      <w:r>
        <w:t xml:space="preserve"> ФСФР России от 28 декабря 2010 года N 10-79/пз-н "Об утверждении Положения о составе и структуре активов акционерных инвестиционных фондов и активов паевых инвестиционных фондов", зарегистрированный Министерством юстиции Российской Федерации 18 марта 2011 года N 20175 (Бюллетень нормативных актов федеральных органов исполнительной власти от 2 мая 2011 года N 18);</w:t>
      </w:r>
    </w:p>
    <w:p w:rsidR="00261DAB" w:rsidRDefault="00261DAB">
      <w:pPr>
        <w:pStyle w:val="ConsPlusNormal"/>
        <w:ind w:firstLine="540"/>
        <w:jc w:val="both"/>
      </w:pPr>
      <w:hyperlink r:id="rId17" w:history="1">
        <w:r>
          <w:rPr>
            <w:color w:val="0000FF"/>
          </w:rPr>
          <w:t>приказ</w:t>
        </w:r>
      </w:hyperlink>
      <w:r>
        <w:t xml:space="preserve"> ФСФР России от 31 мая 2011 года N 11-24/пз-н "О внесении изменений в Положение о составе и структуре активов акционерных инвестиционных фондов и активов паевых инвестиционных фондов, утвержденное приказом ФСФР России от 28 декабря 2010 г. N 10-79/пз-н", зарегистрированный Министерством юстиции Российской Федерации 24 июня 2011 года N 21157 (Российская газета от 4 июля 2011 года).</w:t>
      </w:r>
    </w:p>
    <w:p w:rsidR="00261DAB" w:rsidRDefault="00261DAB">
      <w:pPr>
        <w:pStyle w:val="ConsPlusNormal"/>
        <w:ind w:firstLine="540"/>
        <w:jc w:val="both"/>
      </w:pPr>
    </w:p>
    <w:p w:rsidR="00261DAB" w:rsidRDefault="00261DAB">
      <w:pPr>
        <w:pStyle w:val="ConsPlusNormal"/>
        <w:jc w:val="right"/>
      </w:pPr>
      <w:r>
        <w:t>Председатель Центрального банка</w:t>
      </w:r>
    </w:p>
    <w:p w:rsidR="00261DAB" w:rsidRDefault="00261DAB">
      <w:pPr>
        <w:pStyle w:val="ConsPlusNormal"/>
        <w:jc w:val="right"/>
      </w:pPr>
      <w:r>
        <w:t>Российской Федерации</w:t>
      </w:r>
    </w:p>
    <w:p w:rsidR="00261DAB" w:rsidRDefault="00261DAB">
      <w:pPr>
        <w:pStyle w:val="ConsPlusNormal"/>
        <w:jc w:val="right"/>
      </w:pPr>
      <w:r>
        <w:t>Э.С.НАБИУЛЛИНА</w:t>
      </w:r>
    </w:p>
    <w:p w:rsidR="00261DAB" w:rsidRDefault="00261DAB">
      <w:pPr>
        <w:pStyle w:val="ConsPlusNormal"/>
        <w:jc w:val="right"/>
      </w:pPr>
    </w:p>
    <w:p w:rsidR="00261DAB" w:rsidRDefault="00261DAB">
      <w:pPr>
        <w:pStyle w:val="ConsPlusNormal"/>
        <w:jc w:val="right"/>
      </w:pPr>
    </w:p>
    <w:p w:rsidR="00261DAB" w:rsidRDefault="00261DAB">
      <w:pPr>
        <w:pStyle w:val="ConsPlusNormal"/>
        <w:jc w:val="right"/>
      </w:pPr>
    </w:p>
    <w:p w:rsidR="00261DAB" w:rsidRDefault="00261DAB">
      <w:pPr>
        <w:pStyle w:val="ConsPlusNormal"/>
        <w:jc w:val="right"/>
      </w:pPr>
    </w:p>
    <w:p w:rsidR="00261DAB" w:rsidRDefault="00261DAB">
      <w:pPr>
        <w:pStyle w:val="ConsPlusNormal"/>
        <w:jc w:val="right"/>
      </w:pPr>
    </w:p>
    <w:p w:rsidR="00261DAB" w:rsidRDefault="00261DAB">
      <w:pPr>
        <w:pStyle w:val="ConsPlusNormal"/>
        <w:jc w:val="right"/>
        <w:outlineLvl w:val="0"/>
      </w:pPr>
      <w:r>
        <w:t>Приложение</w:t>
      </w:r>
    </w:p>
    <w:p w:rsidR="00261DAB" w:rsidRDefault="00261DAB">
      <w:pPr>
        <w:pStyle w:val="ConsPlusNormal"/>
        <w:jc w:val="right"/>
      </w:pPr>
      <w:r>
        <w:t>к Указанию Банка России</w:t>
      </w:r>
    </w:p>
    <w:p w:rsidR="00261DAB" w:rsidRDefault="00261DAB">
      <w:pPr>
        <w:pStyle w:val="ConsPlusNormal"/>
        <w:jc w:val="right"/>
      </w:pPr>
      <w:r>
        <w:t>от 5 сентября 2016 года N 4129-У</w:t>
      </w:r>
    </w:p>
    <w:p w:rsidR="00261DAB" w:rsidRDefault="00261DAB">
      <w:pPr>
        <w:pStyle w:val="ConsPlusNormal"/>
        <w:jc w:val="right"/>
      </w:pPr>
      <w:r>
        <w:t>"О составе и структуре активов</w:t>
      </w:r>
    </w:p>
    <w:p w:rsidR="00261DAB" w:rsidRDefault="00261DAB">
      <w:pPr>
        <w:pStyle w:val="ConsPlusNormal"/>
        <w:jc w:val="right"/>
      </w:pPr>
      <w:r>
        <w:t>акционерных инвестиционных фондов</w:t>
      </w:r>
    </w:p>
    <w:p w:rsidR="00261DAB" w:rsidRDefault="00261DAB">
      <w:pPr>
        <w:pStyle w:val="ConsPlusNormal"/>
        <w:jc w:val="right"/>
      </w:pPr>
      <w:r>
        <w:t>и активов паевых инвестиционных фондов"</w:t>
      </w:r>
    </w:p>
    <w:p w:rsidR="00261DAB" w:rsidRDefault="00261DAB">
      <w:pPr>
        <w:pStyle w:val="ConsPlusNormal"/>
        <w:jc w:val="center"/>
      </w:pPr>
    </w:p>
    <w:p w:rsidR="00261DAB" w:rsidRDefault="00261DAB">
      <w:pPr>
        <w:pStyle w:val="ConsPlusNormal"/>
        <w:jc w:val="center"/>
      </w:pPr>
      <w:bookmarkStart w:id="22" w:name="P145"/>
      <w:bookmarkEnd w:id="22"/>
      <w:r>
        <w:t>ПЕРЕЧЕНЬ ФОНДОВЫХ ИНДЕКСОВ</w:t>
      </w:r>
    </w:p>
    <w:p w:rsidR="00261DAB" w:rsidRDefault="00261DAB">
      <w:pPr>
        <w:pStyle w:val="ConsPlusNormal"/>
        <w:jc w:val="center"/>
      </w:pPr>
    </w:p>
    <w:p w:rsidR="00261DAB" w:rsidRDefault="00261DAB">
      <w:pPr>
        <w:pStyle w:val="ConsPlusNormal"/>
        <w:ind w:firstLine="540"/>
        <w:jc w:val="both"/>
      </w:pPr>
      <w:r>
        <w:t>1. S&amp;P/ASX-200 (Австралия)</w:t>
      </w:r>
    </w:p>
    <w:p w:rsidR="00261DAB" w:rsidRDefault="00261DAB">
      <w:pPr>
        <w:pStyle w:val="ConsPlusNormal"/>
        <w:ind w:firstLine="540"/>
        <w:jc w:val="both"/>
      </w:pPr>
      <w:r>
        <w:t>2. ATX (Австрия)</w:t>
      </w:r>
    </w:p>
    <w:p w:rsidR="00261DAB" w:rsidRDefault="00261DAB">
      <w:pPr>
        <w:pStyle w:val="ConsPlusNormal"/>
        <w:ind w:firstLine="540"/>
        <w:jc w:val="both"/>
      </w:pPr>
      <w:r>
        <w:t>3. BEL20 (Бельгия)</w:t>
      </w:r>
    </w:p>
    <w:p w:rsidR="00261DAB" w:rsidRDefault="00261DAB">
      <w:pPr>
        <w:pStyle w:val="ConsPlusNormal"/>
        <w:ind w:firstLine="540"/>
        <w:jc w:val="both"/>
      </w:pPr>
      <w:r>
        <w:t>4. Ibovespa (Бразилия)</w:t>
      </w:r>
    </w:p>
    <w:p w:rsidR="00261DAB" w:rsidRDefault="00261DAB">
      <w:pPr>
        <w:pStyle w:val="ConsPlusNormal"/>
        <w:ind w:firstLine="540"/>
        <w:jc w:val="both"/>
      </w:pPr>
      <w:r>
        <w:t>5. Budapest SE (Венгрия)</w:t>
      </w:r>
    </w:p>
    <w:p w:rsidR="00261DAB" w:rsidRDefault="00261DAB">
      <w:pPr>
        <w:pStyle w:val="ConsPlusNormal"/>
        <w:ind w:firstLine="540"/>
        <w:jc w:val="both"/>
      </w:pPr>
      <w:r>
        <w:t>6. FTSE 100 (Великобритания)</w:t>
      </w:r>
    </w:p>
    <w:p w:rsidR="00261DAB" w:rsidRDefault="00261DAB">
      <w:pPr>
        <w:pStyle w:val="ConsPlusNormal"/>
        <w:ind w:firstLine="540"/>
        <w:jc w:val="both"/>
      </w:pPr>
      <w:r>
        <w:t>7. Hang Seng (Гонконг)</w:t>
      </w:r>
    </w:p>
    <w:p w:rsidR="00261DAB" w:rsidRDefault="00261DAB">
      <w:pPr>
        <w:pStyle w:val="ConsPlusNormal"/>
        <w:ind w:firstLine="540"/>
        <w:jc w:val="both"/>
      </w:pPr>
      <w:r>
        <w:t>8. DAX (Германия)</w:t>
      </w:r>
    </w:p>
    <w:p w:rsidR="00261DAB" w:rsidRDefault="00261DAB">
      <w:pPr>
        <w:pStyle w:val="ConsPlusNormal"/>
        <w:ind w:firstLine="540"/>
        <w:jc w:val="both"/>
      </w:pPr>
      <w:r>
        <w:t>9. OMX Copenhagen 20 (Дания)</w:t>
      </w:r>
    </w:p>
    <w:p w:rsidR="00261DAB" w:rsidRDefault="00261DAB">
      <w:pPr>
        <w:pStyle w:val="ConsPlusNormal"/>
        <w:ind w:firstLine="540"/>
        <w:jc w:val="both"/>
      </w:pPr>
      <w:r>
        <w:t>10. TA 25 (Израиль)</w:t>
      </w:r>
    </w:p>
    <w:p w:rsidR="00261DAB" w:rsidRDefault="00261DAB">
      <w:pPr>
        <w:pStyle w:val="ConsPlusNormal"/>
        <w:ind w:firstLine="540"/>
        <w:jc w:val="both"/>
      </w:pPr>
      <w:r>
        <w:t>11. BSE Sensex (Индия)</w:t>
      </w:r>
    </w:p>
    <w:p w:rsidR="00261DAB" w:rsidRDefault="00261DAB">
      <w:pPr>
        <w:pStyle w:val="ConsPlusNormal"/>
        <w:ind w:firstLine="540"/>
        <w:jc w:val="both"/>
      </w:pPr>
      <w:r>
        <w:t>12. ISEQ 20 (Ирландия)</w:t>
      </w:r>
    </w:p>
    <w:p w:rsidR="00261DAB" w:rsidRDefault="00261DAB">
      <w:pPr>
        <w:pStyle w:val="ConsPlusNormal"/>
        <w:ind w:firstLine="540"/>
        <w:jc w:val="both"/>
      </w:pPr>
      <w:r>
        <w:t>13. ICEX (Исландия)</w:t>
      </w:r>
    </w:p>
    <w:p w:rsidR="00261DAB" w:rsidRDefault="00261DAB">
      <w:pPr>
        <w:pStyle w:val="ConsPlusNormal"/>
        <w:ind w:firstLine="540"/>
        <w:jc w:val="both"/>
      </w:pPr>
      <w:r>
        <w:t>14. IBEX 35 (Испания)</w:t>
      </w:r>
    </w:p>
    <w:p w:rsidR="00261DAB" w:rsidRPr="00261DAB" w:rsidRDefault="00261DAB">
      <w:pPr>
        <w:pStyle w:val="ConsPlusNormal"/>
        <w:ind w:firstLine="540"/>
        <w:jc w:val="both"/>
        <w:rPr>
          <w:lang w:val="en-US"/>
        </w:rPr>
      </w:pPr>
      <w:r w:rsidRPr="00261DAB">
        <w:rPr>
          <w:lang w:val="en-US"/>
        </w:rPr>
        <w:t>15. FTSE MIB (</w:t>
      </w:r>
      <w:r>
        <w:t>Италия</w:t>
      </w:r>
      <w:r w:rsidRPr="00261DAB">
        <w:rPr>
          <w:lang w:val="en-US"/>
        </w:rPr>
        <w:t>)</w:t>
      </w:r>
    </w:p>
    <w:p w:rsidR="00261DAB" w:rsidRPr="00261DAB" w:rsidRDefault="00261DAB">
      <w:pPr>
        <w:pStyle w:val="ConsPlusNormal"/>
        <w:ind w:firstLine="540"/>
        <w:jc w:val="both"/>
        <w:rPr>
          <w:lang w:val="en-US"/>
        </w:rPr>
      </w:pPr>
      <w:r w:rsidRPr="00261DAB">
        <w:rPr>
          <w:lang w:val="en-US"/>
        </w:rPr>
        <w:t>16. S&amp;P/TSX (</w:t>
      </w:r>
      <w:r>
        <w:t>Канада</w:t>
      </w:r>
      <w:r w:rsidRPr="00261DAB">
        <w:rPr>
          <w:lang w:val="en-US"/>
        </w:rPr>
        <w:t>)</w:t>
      </w:r>
    </w:p>
    <w:p w:rsidR="00261DAB" w:rsidRPr="00261DAB" w:rsidRDefault="00261DAB">
      <w:pPr>
        <w:pStyle w:val="ConsPlusNormal"/>
        <w:ind w:firstLine="540"/>
        <w:jc w:val="both"/>
        <w:rPr>
          <w:lang w:val="en-US"/>
        </w:rPr>
      </w:pPr>
      <w:r w:rsidRPr="00261DAB">
        <w:rPr>
          <w:lang w:val="en-US"/>
        </w:rPr>
        <w:t>17. SSE Composite Index (</w:t>
      </w:r>
      <w:r>
        <w:t>Китай</w:t>
      </w:r>
      <w:r w:rsidRPr="00261DAB">
        <w:rPr>
          <w:lang w:val="en-US"/>
        </w:rPr>
        <w:t>)</w:t>
      </w:r>
    </w:p>
    <w:p w:rsidR="00261DAB" w:rsidRPr="00261DAB" w:rsidRDefault="00261DAB">
      <w:pPr>
        <w:pStyle w:val="ConsPlusNormal"/>
        <w:ind w:firstLine="540"/>
        <w:jc w:val="both"/>
        <w:rPr>
          <w:lang w:val="en-US"/>
        </w:rPr>
      </w:pPr>
      <w:r w:rsidRPr="00261DAB">
        <w:rPr>
          <w:lang w:val="en-US"/>
        </w:rPr>
        <w:t>18. LuxX Index (</w:t>
      </w:r>
      <w:r>
        <w:t>Люксембург</w:t>
      </w:r>
      <w:r w:rsidRPr="00261DAB">
        <w:rPr>
          <w:lang w:val="en-US"/>
        </w:rPr>
        <w:t>)</w:t>
      </w:r>
    </w:p>
    <w:p w:rsidR="00261DAB" w:rsidRPr="00261DAB" w:rsidRDefault="00261DAB">
      <w:pPr>
        <w:pStyle w:val="ConsPlusNormal"/>
        <w:ind w:firstLine="540"/>
        <w:jc w:val="both"/>
        <w:rPr>
          <w:lang w:val="en-US"/>
        </w:rPr>
      </w:pPr>
      <w:r w:rsidRPr="00261DAB">
        <w:rPr>
          <w:lang w:val="en-US"/>
        </w:rPr>
        <w:t>19. IPC (</w:t>
      </w:r>
      <w:r>
        <w:t>Мексика</w:t>
      </w:r>
      <w:r w:rsidRPr="00261DAB">
        <w:rPr>
          <w:lang w:val="en-US"/>
        </w:rPr>
        <w:t>)</w:t>
      </w:r>
    </w:p>
    <w:p w:rsidR="00261DAB" w:rsidRPr="00261DAB" w:rsidRDefault="00261DAB">
      <w:pPr>
        <w:pStyle w:val="ConsPlusNormal"/>
        <w:ind w:firstLine="540"/>
        <w:jc w:val="both"/>
        <w:rPr>
          <w:lang w:val="en-US"/>
        </w:rPr>
      </w:pPr>
      <w:r w:rsidRPr="00261DAB">
        <w:rPr>
          <w:lang w:val="en-US"/>
        </w:rPr>
        <w:t>20. AEX Index (</w:t>
      </w:r>
      <w:r>
        <w:t>Нидерланды</w:t>
      </w:r>
      <w:r w:rsidRPr="00261DAB">
        <w:rPr>
          <w:lang w:val="en-US"/>
        </w:rPr>
        <w:t>)</w:t>
      </w:r>
    </w:p>
    <w:p w:rsidR="00261DAB" w:rsidRPr="00261DAB" w:rsidRDefault="00261DAB">
      <w:pPr>
        <w:pStyle w:val="ConsPlusNormal"/>
        <w:ind w:firstLine="540"/>
        <w:jc w:val="both"/>
        <w:rPr>
          <w:lang w:val="en-US"/>
        </w:rPr>
      </w:pPr>
      <w:r w:rsidRPr="00261DAB">
        <w:rPr>
          <w:lang w:val="en-US"/>
        </w:rPr>
        <w:t>21. DJ New Zealand (</w:t>
      </w:r>
      <w:r>
        <w:t>Новая</w:t>
      </w:r>
      <w:r w:rsidRPr="00261DAB">
        <w:rPr>
          <w:lang w:val="en-US"/>
        </w:rPr>
        <w:t xml:space="preserve"> </w:t>
      </w:r>
      <w:r>
        <w:t>Зеландия</w:t>
      </w:r>
      <w:r w:rsidRPr="00261DAB">
        <w:rPr>
          <w:lang w:val="en-US"/>
        </w:rPr>
        <w:t>)</w:t>
      </w:r>
    </w:p>
    <w:p w:rsidR="00261DAB" w:rsidRPr="00261DAB" w:rsidRDefault="00261DAB">
      <w:pPr>
        <w:pStyle w:val="ConsPlusNormal"/>
        <w:ind w:firstLine="540"/>
        <w:jc w:val="both"/>
        <w:rPr>
          <w:lang w:val="en-US"/>
        </w:rPr>
      </w:pPr>
      <w:r w:rsidRPr="00261DAB">
        <w:rPr>
          <w:lang w:val="en-US"/>
        </w:rPr>
        <w:lastRenderedPageBreak/>
        <w:t>22. OBX (</w:t>
      </w:r>
      <w:r>
        <w:t>Норвегия</w:t>
      </w:r>
      <w:r w:rsidRPr="00261DAB">
        <w:rPr>
          <w:lang w:val="en-US"/>
        </w:rPr>
        <w:t>)</w:t>
      </w:r>
    </w:p>
    <w:p w:rsidR="00261DAB" w:rsidRPr="00261DAB" w:rsidRDefault="00261DAB">
      <w:pPr>
        <w:pStyle w:val="ConsPlusNormal"/>
        <w:ind w:firstLine="540"/>
        <w:jc w:val="both"/>
        <w:rPr>
          <w:lang w:val="en-US"/>
        </w:rPr>
      </w:pPr>
      <w:r w:rsidRPr="00261DAB">
        <w:rPr>
          <w:lang w:val="en-US"/>
        </w:rPr>
        <w:t>23. WIG (</w:t>
      </w:r>
      <w:r>
        <w:t>Польша</w:t>
      </w:r>
      <w:r w:rsidRPr="00261DAB">
        <w:rPr>
          <w:lang w:val="en-US"/>
        </w:rPr>
        <w:t>)</w:t>
      </w:r>
    </w:p>
    <w:p w:rsidR="00261DAB" w:rsidRPr="00261DAB" w:rsidRDefault="00261DAB">
      <w:pPr>
        <w:pStyle w:val="ConsPlusNormal"/>
        <w:ind w:firstLine="540"/>
        <w:jc w:val="both"/>
        <w:rPr>
          <w:lang w:val="en-US"/>
        </w:rPr>
      </w:pPr>
      <w:r w:rsidRPr="00261DAB">
        <w:rPr>
          <w:lang w:val="en-US"/>
        </w:rPr>
        <w:t>24. PSI 20 (</w:t>
      </w:r>
      <w:r>
        <w:t>Португалия</w:t>
      </w:r>
      <w:r w:rsidRPr="00261DAB">
        <w:rPr>
          <w:lang w:val="en-US"/>
        </w:rPr>
        <w:t>)</w:t>
      </w:r>
    </w:p>
    <w:p w:rsidR="00261DAB" w:rsidRDefault="00261DAB">
      <w:pPr>
        <w:pStyle w:val="ConsPlusNormal"/>
        <w:ind w:firstLine="540"/>
        <w:jc w:val="both"/>
      </w:pPr>
      <w:r>
        <w:t>25. ММВБ (Россия)</w:t>
      </w:r>
    </w:p>
    <w:p w:rsidR="00261DAB" w:rsidRDefault="00261DAB">
      <w:pPr>
        <w:pStyle w:val="ConsPlusNormal"/>
        <w:ind w:firstLine="540"/>
        <w:jc w:val="both"/>
      </w:pPr>
      <w:r>
        <w:t>26. РТС (Россия)</w:t>
      </w:r>
    </w:p>
    <w:p w:rsidR="00261DAB" w:rsidRDefault="00261DAB">
      <w:pPr>
        <w:pStyle w:val="ConsPlusNormal"/>
        <w:ind w:firstLine="540"/>
        <w:jc w:val="both"/>
      </w:pPr>
      <w:r>
        <w:t>27. SAX (Словакия)</w:t>
      </w:r>
    </w:p>
    <w:p w:rsidR="00261DAB" w:rsidRPr="00261DAB" w:rsidRDefault="00261DAB">
      <w:pPr>
        <w:pStyle w:val="ConsPlusNormal"/>
        <w:ind w:firstLine="540"/>
        <w:jc w:val="both"/>
        <w:rPr>
          <w:lang w:val="en-US"/>
        </w:rPr>
      </w:pPr>
      <w:r w:rsidRPr="00261DAB">
        <w:rPr>
          <w:lang w:val="en-US"/>
        </w:rPr>
        <w:t>28. Blue-Chip SBITOP (</w:t>
      </w:r>
      <w:r>
        <w:t>Словения</w:t>
      </w:r>
      <w:r w:rsidRPr="00261DAB">
        <w:rPr>
          <w:lang w:val="en-US"/>
        </w:rPr>
        <w:t>)</w:t>
      </w:r>
    </w:p>
    <w:p w:rsidR="00261DAB" w:rsidRPr="00261DAB" w:rsidRDefault="00261DAB">
      <w:pPr>
        <w:pStyle w:val="ConsPlusNormal"/>
        <w:ind w:firstLine="540"/>
        <w:jc w:val="both"/>
        <w:rPr>
          <w:lang w:val="en-US"/>
        </w:rPr>
      </w:pPr>
      <w:r w:rsidRPr="00261DAB">
        <w:rPr>
          <w:lang w:val="en-US"/>
        </w:rPr>
        <w:t>29. Dow Jones (</w:t>
      </w:r>
      <w:r>
        <w:t>США</w:t>
      </w:r>
      <w:r w:rsidRPr="00261DAB">
        <w:rPr>
          <w:lang w:val="en-US"/>
        </w:rPr>
        <w:t>)</w:t>
      </w:r>
    </w:p>
    <w:p w:rsidR="00261DAB" w:rsidRPr="00261DAB" w:rsidRDefault="00261DAB">
      <w:pPr>
        <w:pStyle w:val="ConsPlusNormal"/>
        <w:ind w:firstLine="540"/>
        <w:jc w:val="both"/>
        <w:rPr>
          <w:lang w:val="en-US"/>
        </w:rPr>
      </w:pPr>
      <w:r w:rsidRPr="00261DAB">
        <w:rPr>
          <w:lang w:val="en-US"/>
        </w:rPr>
        <w:t>30. S&amp;P 500 (</w:t>
      </w:r>
      <w:r>
        <w:t>США</w:t>
      </w:r>
      <w:r w:rsidRPr="00261DAB">
        <w:rPr>
          <w:lang w:val="en-US"/>
        </w:rPr>
        <w:t>)</w:t>
      </w:r>
    </w:p>
    <w:p w:rsidR="00261DAB" w:rsidRPr="00261DAB" w:rsidRDefault="00261DAB">
      <w:pPr>
        <w:pStyle w:val="ConsPlusNormal"/>
        <w:ind w:firstLine="540"/>
        <w:jc w:val="both"/>
        <w:rPr>
          <w:lang w:val="en-US"/>
        </w:rPr>
      </w:pPr>
      <w:r w:rsidRPr="00261DAB">
        <w:rPr>
          <w:lang w:val="en-US"/>
        </w:rPr>
        <w:t>31. BIST 100 (</w:t>
      </w:r>
      <w:r>
        <w:t>Турция</w:t>
      </w:r>
      <w:r w:rsidRPr="00261DAB">
        <w:rPr>
          <w:lang w:val="en-US"/>
        </w:rPr>
        <w:t>)</w:t>
      </w:r>
    </w:p>
    <w:p w:rsidR="00261DAB" w:rsidRPr="00261DAB" w:rsidRDefault="00261DAB">
      <w:pPr>
        <w:pStyle w:val="ConsPlusNormal"/>
        <w:ind w:firstLine="540"/>
        <w:jc w:val="both"/>
        <w:rPr>
          <w:lang w:val="en-US"/>
        </w:rPr>
      </w:pPr>
      <w:r w:rsidRPr="00261DAB">
        <w:rPr>
          <w:lang w:val="en-US"/>
        </w:rPr>
        <w:t>32. OMX Helsinki 25 (</w:t>
      </w:r>
      <w:r>
        <w:t>Финляндия</w:t>
      </w:r>
      <w:r w:rsidRPr="00261DAB">
        <w:rPr>
          <w:lang w:val="en-US"/>
        </w:rPr>
        <w:t>)</w:t>
      </w:r>
    </w:p>
    <w:p w:rsidR="00261DAB" w:rsidRDefault="00261DAB">
      <w:pPr>
        <w:pStyle w:val="ConsPlusNormal"/>
        <w:ind w:firstLine="540"/>
        <w:jc w:val="both"/>
      </w:pPr>
      <w:r>
        <w:t>33. CAC 40 (Франция)</w:t>
      </w:r>
    </w:p>
    <w:p w:rsidR="00261DAB" w:rsidRDefault="00261DAB">
      <w:pPr>
        <w:pStyle w:val="ConsPlusNormal"/>
        <w:ind w:firstLine="540"/>
        <w:jc w:val="both"/>
      </w:pPr>
      <w:r>
        <w:t>34. PX Index (Чешская республика)</w:t>
      </w:r>
    </w:p>
    <w:p w:rsidR="00261DAB" w:rsidRDefault="00261DAB">
      <w:pPr>
        <w:pStyle w:val="ConsPlusNormal"/>
        <w:ind w:firstLine="540"/>
        <w:jc w:val="both"/>
      </w:pPr>
      <w:r>
        <w:t>35. IPSA (Чили)</w:t>
      </w:r>
    </w:p>
    <w:p w:rsidR="00261DAB" w:rsidRDefault="00261DAB">
      <w:pPr>
        <w:pStyle w:val="ConsPlusNormal"/>
        <w:ind w:firstLine="540"/>
        <w:jc w:val="both"/>
      </w:pPr>
      <w:r>
        <w:t>36. SMI (Швейцария)</w:t>
      </w:r>
    </w:p>
    <w:p w:rsidR="00261DAB" w:rsidRDefault="00261DAB">
      <w:pPr>
        <w:pStyle w:val="ConsPlusNormal"/>
        <w:ind w:firstLine="540"/>
        <w:jc w:val="both"/>
      </w:pPr>
      <w:r>
        <w:t>37. OMXS30 (Швеция)</w:t>
      </w:r>
    </w:p>
    <w:p w:rsidR="00261DAB" w:rsidRPr="00261DAB" w:rsidRDefault="00261DAB">
      <w:pPr>
        <w:pStyle w:val="ConsPlusNormal"/>
        <w:ind w:firstLine="540"/>
        <w:jc w:val="both"/>
        <w:rPr>
          <w:lang w:val="en-US"/>
        </w:rPr>
      </w:pPr>
      <w:r w:rsidRPr="00261DAB">
        <w:rPr>
          <w:lang w:val="en-US"/>
        </w:rPr>
        <w:t>38. Tallinn SE General (</w:t>
      </w:r>
      <w:r>
        <w:t>Эстония</w:t>
      </w:r>
      <w:r w:rsidRPr="00261DAB">
        <w:rPr>
          <w:lang w:val="en-US"/>
        </w:rPr>
        <w:t>)</w:t>
      </w:r>
    </w:p>
    <w:p w:rsidR="00261DAB" w:rsidRPr="00261DAB" w:rsidRDefault="00261DAB">
      <w:pPr>
        <w:pStyle w:val="ConsPlusNormal"/>
        <w:ind w:firstLine="540"/>
        <w:jc w:val="both"/>
        <w:rPr>
          <w:lang w:val="en-US"/>
        </w:rPr>
      </w:pPr>
      <w:r w:rsidRPr="00261DAB">
        <w:rPr>
          <w:lang w:val="en-US"/>
        </w:rPr>
        <w:t>39. FTSE/JSE Top40 (</w:t>
      </w:r>
      <w:r>
        <w:t>ЮАР</w:t>
      </w:r>
      <w:r w:rsidRPr="00261DAB">
        <w:rPr>
          <w:lang w:val="en-US"/>
        </w:rPr>
        <w:t>)</w:t>
      </w:r>
    </w:p>
    <w:p w:rsidR="00261DAB" w:rsidRPr="00261DAB" w:rsidRDefault="00261DAB">
      <w:pPr>
        <w:pStyle w:val="ConsPlusNormal"/>
        <w:ind w:firstLine="540"/>
        <w:jc w:val="both"/>
        <w:rPr>
          <w:lang w:val="en-US"/>
        </w:rPr>
      </w:pPr>
      <w:r w:rsidRPr="00261DAB">
        <w:rPr>
          <w:lang w:val="en-US"/>
        </w:rPr>
        <w:t>40. KOSPI (</w:t>
      </w:r>
      <w:r>
        <w:t>Южная</w:t>
      </w:r>
      <w:r w:rsidRPr="00261DAB">
        <w:rPr>
          <w:lang w:val="en-US"/>
        </w:rPr>
        <w:t xml:space="preserve"> </w:t>
      </w:r>
      <w:r>
        <w:t>Корея</w:t>
      </w:r>
      <w:r w:rsidRPr="00261DAB">
        <w:rPr>
          <w:lang w:val="en-US"/>
        </w:rPr>
        <w:t>)</w:t>
      </w:r>
    </w:p>
    <w:p w:rsidR="00261DAB" w:rsidRPr="00261DAB" w:rsidRDefault="00261DAB">
      <w:pPr>
        <w:pStyle w:val="ConsPlusNormal"/>
        <w:ind w:firstLine="540"/>
        <w:jc w:val="both"/>
        <w:rPr>
          <w:lang w:val="en-US"/>
        </w:rPr>
      </w:pPr>
      <w:r w:rsidRPr="00261DAB">
        <w:rPr>
          <w:lang w:val="en-US"/>
        </w:rPr>
        <w:t>41. Nikkei 225 (</w:t>
      </w:r>
      <w:r>
        <w:t>Япония</w:t>
      </w:r>
      <w:r w:rsidRPr="00261DAB">
        <w:rPr>
          <w:lang w:val="en-US"/>
        </w:rPr>
        <w:t>)</w:t>
      </w:r>
    </w:p>
    <w:p w:rsidR="00261DAB" w:rsidRPr="00261DAB" w:rsidRDefault="00261DAB">
      <w:pPr>
        <w:pStyle w:val="ConsPlusNormal"/>
        <w:jc w:val="both"/>
        <w:rPr>
          <w:lang w:val="en-US"/>
        </w:rPr>
      </w:pPr>
    </w:p>
    <w:p w:rsidR="00261DAB" w:rsidRPr="00261DAB" w:rsidRDefault="00261DAB">
      <w:pPr>
        <w:pStyle w:val="ConsPlusNormal"/>
        <w:jc w:val="both"/>
        <w:rPr>
          <w:lang w:val="en-US"/>
        </w:rPr>
      </w:pPr>
    </w:p>
    <w:p w:rsidR="00261DAB" w:rsidRPr="00261DAB" w:rsidRDefault="00261DAB">
      <w:pPr>
        <w:pStyle w:val="ConsPlusNormal"/>
        <w:pBdr>
          <w:top w:val="single" w:sz="6" w:space="0" w:color="auto"/>
        </w:pBdr>
        <w:spacing w:before="100" w:after="100"/>
        <w:jc w:val="both"/>
        <w:rPr>
          <w:sz w:val="2"/>
          <w:szCs w:val="2"/>
          <w:lang w:val="en-US"/>
        </w:rPr>
      </w:pPr>
    </w:p>
    <w:p w:rsidR="00B26779" w:rsidRPr="00261DAB" w:rsidRDefault="00B26779">
      <w:pPr>
        <w:rPr>
          <w:lang w:val="en-US"/>
        </w:rPr>
      </w:pPr>
      <w:bookmarkStart w:id="23" w:name="_GoBack"/>
      <w:bookmarkEnd w:id="23"/>
    </w:p>
    <w:sectPr w:rsidR="00B26779" w:rsidRPr="00261DAB" w:rsidSect="00A1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AB"/>
    <w:rsid w:val="00261DAB"/>
    <w:rsid w:val="00B2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D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D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D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D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D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D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78EEF8098BA09524405C7D93782CAC2C7961404D6A4D0C44DDC150F5604A50CB1A98F453B8A35k7M2O" TargetMode="External"/><Relationship Id="rId13" Type="http://schemas.openxmlformats.org/officeDocument/2006/relationships/hyperlink" Target="consultantplus://offline/ref=57478EEF8098BA09524405C7D93782CAC2C7961706D9A4D0C44DDC150Fk5M6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478EEF8098BA09524405C7D93782CAC2C7971C06D6A4D0C44DDC150F5604A50CB1A98F4Ck3M8O" TargetMode="External"/><Relationship Id="rId12" Type="http://schemas.openxmlformats.org/officeDocument/2006/relationships/hyperlink" Target="consultantplus://offline/ref=57478EEF8098BA09524405C7D93782CAC1CE921400D9A4D0C44DDC150F5604A50CB1A98F453B883Ck7M8O" TargetMode="External"/><Relationship Id="rId17" Type="http://schemas.openxmlformats.org/officeDocument/2006/relationships/hyperlink" Target="consultantplus://offline/ref=57478EEF8098BA09524405C7D93782CAC1C6921309D7A4D0C44DDC150Fk5M6O" TargetMode="External"/><Relationship Id="rId2" Type="http://schemas.microsoft.com/office/2007/relationships/stylesWithEffects" Target="stylesWithEffects.xml"/><Relationship Id="rId16" Type="http://schemas.openxmlformats.org/officeDocument/2006/relationships/hyperlink" Target="consultantplus://offline/ref=57478EEF8098BA09524405C7D93782CAC1C6921205D7A4D0C44DDC150Fk5M6O" TargetMode="External"/><Relationship Id="rId1" Type="http://schemas.openxmlformats.org/officeDocument/2006/relationships/styles" Target="styles.xml"/><Relationship Id="rId6" Type="http://schemas.openxmlformats.org/officeDocument/2006/relationships/hyperlink" Target="consultantplus://offline/ref=57478EEF8098BA09524405C7D93782CAC2C7961404D6A4D0C44DDC150F5604A50CB1A98B45k3MFO" TargetMode="External"/><Relationship Id="rId11" Type="http://schemas.openxmlformats.org/officeDocument/2006/relationships/hyperlink" Target="consultantplus://offline/ref=57478EEF8098BA09524405C7D93782CAC1CE921400D9A4D0C44DDC150F5604A50CB1A98F453B883Ck7M8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7478EEF8098BA09524405C7D93782CAC2C7961706D9A4D0C44DDC150Fk5M6O" TargetMode="External"/><Relationship Id="rId10" Type="http://schemas.openxmlformats.org/officeDocument/2006/relationships/hyperlink" Target="consultantplus://offline/ref=57478EEF8098BA09524405C7D93782CAC2C7961404D6A4D0C44DDC150F5604A50CB1A98A47k3M2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7478EEF8098BA09524405C7D93782CAC2C7961404D6A4D0C44DDC150Fk5M6O" TargetMode="External"/><Relationship Id="rId14" Type="http://schemas.openxmlformats.org/officeDocument/2006/relationships/hyperlink" Target="consultantplus://offline/ref=57478EEF8098BA09524405C7D93782CAC1CE921400D9A4D0C44DDC150F5604A50CB1A98F453B883Ck7M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Серебряницкая Ольга Евгеньевна</cp:lastModifiedBy>
  <cp:revision>1</cp:revision>
  <dcterms:created xsi:type="dcterms:W3CDTF">2017-03-06T14:12:00Z</dcterms:created>
  <dcterms:modified xsi:type="dcterms:W3CDTF">2017-03-06T14:12:00Z</dcterms:modified>
</cp:coreProperties>
</file>